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Types>
</file>

<file path=_rels/.rels>&#65279;<?xml version="1.0" encoding="utf-8"?><Relationships xmlns="http://schemas.openxmlformats.org/package/2006/relationships"><Relationship Type="http://schemas.openxmlformats.org/officeDocument/2006/relationships/officeDocument" Target="/word/document.xml" Id="R95639dbc626c4cab" /></Relationships>
</file>

<file path=word/document.xml><?xml version="1.0" encoding="utf-8"?>
<w:document xmlns:w="http://schemas.openxmlformats.org/wordprocessingml/2006/main">
  <w:body>
    <w:tbl>
      <w:tblPr>
        <w:tblW w:w="9000" w:type="dxa"/>
        <w:tblBorders>
          <w:top w:val="nil"/>
          <w:bottom w:val="nil"/>
          <w:left w:val="nil"/>
          <w:right w:val="nil"/>
          <w:insideH w:val="nil"/>
          <w:insideV w:val="nil"/>
        </w:tblBorders>
        <w:tblCellSpacing w:w="60" w:type="dxa"/>
        <w:shd w:val="clear" w:color="auto" w:fill="E7F0F9"/>
      </w:tblPr>
      <w:tblGrid>
        <w:gridCol w:w="1200"/>
        <w:gridCol w:w="4500"/>
      </w:tblGrid>
      <w:tr>
        <w:tc>
          <w:tcPr>
            <w:tcW w:w="1200" w:type="pct"/>
            <w:shd w:val="clear" w:color="auto" w:fill="E7F0F9"/>
          </w:tcPr>
          <w:p>
            <w:pPr>
              <w:spacing w:before="0" w:after="0" w:line="240" w:lineRule="auto"/>
              <w:jc w:val="left"/>
            </w:pPr>
            <w:r>
              <w:rPr>
                <w:b/>
              </w:rPr>
              <w:t xml:space="preserve">RKP broj</w:t>
            </w:r>
          </w:p>
        </w:tc>
        <w:tc>
          <w:tcPr>
            <w:shd w:val="clear" w:color="auto" w:fill="E7F0F9"/>
          </w:tcPr>
          <w:p>
            <w:pPr>
              <w:spacing w:before="0" w:after="0" w:line="240" w:lineRule="auto"/>
              <w:jc w:val="left"/>
            </w:pPr>
            <w:r>
              <w:t xml:space="preserve">35183</w:t>
            </w:r>
          </w:p>
        </w:tc>
      </w:tr>
      <w:tr>
        <w:tc>
          <w:tcPr>
            <w:tcW w:w="1200" w:type="pct"/>
            <w:shd w:val="clear" w:color="auto" w:fill="E7F0F9"/>
          </w:tcPr>
          <w:p>
            <w:pPr>
              <w:spacing w:before="0" w:after="0" w:line="240" w:lineRule="auto"/>
              <w:jc w:val="left"/>
            </w:pPr>
            <w:r>
              <w:rPr>
                <w:b/>
              </w:rPr>
              <w:t xml:space="preserve">Naziv obveznika</w:t>
            </w:r>
          </w:p>
        </w:tc>
        <w:tc>
          <w:tcPr>
            <w:shd w:val="clear" w:color="auto" w:fill="E7F0F9"/>
          </w:tcPr>
          <w:p>
            <w:pPr>
              <w:spacing w:before="0" w:after="0" w:line="240" w:lineRule="auto"/>
              <w:jc w:val="left"/>
            </w:pPr>
            <w:r>
              <w:t xml:space="preserve">OPĆINA ŠANDROVAC</w:t>
            </w:r>
          </w:p>
        </w:tc>
      </w:tr>
      <w:tr>
        <w:tc>
          <w:tcPr>
            <w:tcW w:w="1200" w:type="pct"/>
            <w:shd w:val="clear" w:color="auto" w:fill="E7F0F9"/>
          </w:tcPr>
          <w:p>
            <w:pPr>
              <w:spacing w:before="0" w:after="0" w:line="240" w:lineRule="auto"/>
              <w:jc w:val="left"/>
            </w:pPr>
            <w:r>
              <w:rPr>
                <w:b/>
              </w:rPr>
              <w:t xml:space="preserve">Razina</w:t>
            </w:r>
          </w:p>
        </w:tc>
        <w:tc>
          <w:tcPr>
            <w:shd w:val="clear" w:color="auto" w:fill="E7F0F9"/>
          </w:tcPr>
          <w:p>
            <w:pPr>
              <w:spacing w:before="0" w:after="0" w:line="240" w:lineRule="auto"/>
              <w:jc w:val="left"/>
            </w:pPr>
            <w:r>
              <w:t xml:space="preserve">23</w:t>
            </w:r>
          </w:p>
        </w:tc>
      </w:tr>
    </w:tbl>
    <w:p>
      <w:r>
        <w:br/>
      </w:r>
    </w:p>
    <w:p>
      <w:pPr>
        <w:jc w:val="center"/>
        <w:pStyle w:val="Normal"/>
        <w:spacing w:line="240" w:lineRule="auto"/>
      </w:pPr>
      <w:r>
        <w:rPr>
          <w:b/>
          <w:sz w:val="28"/>
          <w:rFonts w:ascii="Times New Roman" w:hAnsi="Times New Roman"/>
        </w:rPr>
        <w:t xml:space="preserve">BILJEŠKE UZ FINANCIJSKE IZVJEŠTAJE</w:t>
      </w:r>
    </w:p>
    <w:p>
      <w:pPr>
        <w:jc w:val="center"/>
        <w:pStyle w:val="Normal"/>
        <w:spacing w:line="240" w:lineRule="auto"/>
      </w:pPr>
      <w:r>
        <w:rPr>
          <w:b/>
          <w:sz w:val="28"/>
          <w:rFonts w:ascii="Times New Roman" w:hAnsi="Times New Roman"/>
        </w:rPr>
        <w:t xml:space="preserve">ZA RAZDOBLJE</w:t>
      </w:r>
    </w:p>
    <w:p>
      <w:pPr>
        <w:jc w:val="center"/>
        <w:pStyle w:val="Normal"/>
        <w:spacing w:line="240" w:lineRule="auto"/>
      </w:pPr>
      <w:r>
        <w:rPr>
          <w:b/>
          <w:sz w:val="28"/>
          <w:rFonts w:ascii="Times New Roman" w:hAnsi="Times New Roman"/>
        </w:rPr>
        <w:t xml:space="preserve">I - VI 2026.</w:t>
      </w:r>
    </w:p>
    <w:p/>
    <w:p>
      <w:pPr>
        <w:jc w:val="center"/>
        <w:pStyle w:val="Normal"/>
        <w:spacing w:line="240" w:lineRule="auto"/>
        <w:keepNext/>
      </w:pPr>
      <w:r>
        <w:rPr>
          <w:b/>
          <w:sz w:val="28"/>
          <w:rFonts w:ascii="Times New Roman" w:hAnsi="Times New Roman"/>
        </w:rPr>
        <w:t xml:space="preserve">Izvještaj o prihodima i rashodima, primicima i izdacima</w:t>
      </w:r>
    </w:p>
    <w:p>
      <w:pPr>
        <w:jc w:val="center"/>
        <w:pStyle w:val="Normal"/>
        <w:spacing w:line="240" w:lineRule="auto"/>
        <w:keepNext/>
      </w:pPr>
      <w:r>
        <w:rPr>
          <w:sz w:val="28"/>
          <w:rFonts w:ascii="Times New Roman" w:hAnsi="Times New Roman"/>
        </w:rPr>
        <w:t xml:space="preserve">Bilješka 1.</w:t>
      </w:r>
    </w:p>
    <w:tbl>
      <w:tblPr>
        <w:tblBorders>
          <w:top w:val="single" w:color="BABABA" w:sz="12"/>
          <w:bottom w:val="single" w:color="BABABA" w:sz="12"/>
          <w:left w:val="single" w:color="BABABA" w:sz="12"/>
          <w:right w:val="single" w:color="BABABA" w:sz="12"/>
          <w:insideH w:val="single" w:color="BABABA" w:sz="8"/>
          <w:insideV w:val="single" w:color="DADADA" w:sz="8"/>
        </w:tblBorders>
        <w:tblW w:w="0" w:type="auto"/>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PRIHODI POSLOVANJA (šifre 61+62+63+64+65+66+67+68)</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1.984.385,08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838.862,17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42,3</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RASHODI POSLOVANJA (šifre 31+32+34+35+36+37+38)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538.581,37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758.317,50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140,8</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VIŠAK PRIHODA POSLOVANJA (šifre 6-Z005)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X001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1.445.803,71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80.544,67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5,6</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Prihodi od prodaje nefinancijske imovine (šifre 71+72+73+74)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85,78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59,50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69,4</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Rashodi za nabavu nefinancijske imovine (šifre 41+42+43+44+45)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65.453,60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47.681,64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72,8</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MANJAK PRIHODA OD NEFINANCIJSKE IMOVINE (šifre 4-7)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Y002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65.367,82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47.622,14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72,9</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8</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Primici od financijske imovine i zaduživanja (šifre 81+82+83+84+85)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Izdaci za financijsku imovinu i otplate zajmova (šifre 51+52+53+54+55)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14.599,59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VIŠAK/MANJAK PRIMITAKA OD FINANCIJSKE IMOVINE I ZADUŽIVANJA (šifre 8-5, 5-8)</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X003, Y003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14.599,59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0</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VIŠAK PRIHODA I PRIMITAKA (šifre X678-Y345)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X005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1.365.836,30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32.922,53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2,4</w:t>
            </w:r>
          </w:p>
        </w:tc>
      </w:tr>
    </w:tbl>
    <w:p>
      <w:pPr>
        <w:spacing w:before="0" w:after="0"/>
      </w:pPr>
    </w:p>
    <w:p>
      <w:r>
        <w:t xml:space="preserve">U skladu s odredbama Pravilnika o financijskom izvještavanju u proračunskom računovodstvu (Narodne Novine, br. 37/22,52/25 i 156/25), Pravilnika o proračunskom računovodstvu i Računskom planu (NN.158/23 , 154/24 i 52/25) i Okružnice o sastavljanju i predaji financijskih izvještaja proračuna, proračunskih i izvanproračunskih korisnika državnog proračuna te proračunskih i izvanproračunskih korisnika proračuna jedinica lokalne i područne (regionalne) samouprave za razdoblje 1. siječnja do 30. lipnja 2026.  godine od Ministarstva  financija (KLASA: 400-02/26-01/21, URBROJ: 513-17-01-26-2 od 07. srpnja 2026. godine sastavljen je Financijski izvještaj Općine Šandrovac za razdoblje siječanj - lipnja 2026. godine koji se sastoji od: </w:t>
      </w:r>
    </w:p>
    <w:p>
      <w:r>
        <w:t xml:space="preserve">-        Izvještaja o prihodima i rashodima, primicima i izdacima (Obrazac PR-RAS), razine 23</w:t>
      </w:r>
    </w:p>
    <w:p>
      <w:r>
        <w:t xml:space="preserve">-        Izvještaj o obvezama (Obrazac OBVEZE), razine 23</w:t>
      </w:r>
    </w:p>
    <w:p>
      <w:r>
        <w:t xml:space="preserve">-        Bilješki.  </w:t>
      </w:r>
    </w:p>
    <w:p>
      <w:r>
        <w:t xml:space="preserve">Temeljem člankom 26. Pravilnika Općina Šandrovac je zatražila i dobila Produženje roka predaje financijskog izvještaja za razdoblje 1.siječnja do 30.lipnja 2026.godine (KLASA:400-04/26-01/21 , URBROJ:2103-15-03-26-1  od 15.lipnja 2026.)</w:t>
      </w:r>
    </w:p>
    <w:p>
      <w:r>
        <w:t xml:space="preserve">Ministarstvo financija dopisom u Predmetu: Općina Šandrovac- Produženje roka predaje financijskih izvještaja za razdoblje 1.siječnja do 30.lipnja 2026.godine (KLASA:400-02/26-01/17 , ZRBROJ:513-17-01-26-145 od 26.lipnja 2026. , odobrilo produženje roka za predaju predmetnih financijskih izvještaja do 31.srpnja 2026.</w:t>
      </w:r>
    </w:p>
    <w:p>
      <w:r>
        <w:t xml:space="preserve">Proračun Općine Šandrovac za 2026. godinu i projekcije za 2027. i 2028. godinu donesen je na 8. sjednici Općinskog vijeća Općine Šandrovac održanoj dana 22.12.2025. godine (OG.OŠ.br.12/26  )</w:t>
      </w:r>
    </w:p>
    <w:p>
      <w:r>
        <w:t xml:space="preserve">https://www.sandrovac.hr/Dokumenti/OPCINSKI_GLASNIK_12_2025_bBbFbH.pdf</w:t>
      </w:r>
    </w:p>
    <w:p>
      <w:r>
        <w:t xml:space="preserve">https://www.sandrovac.hr/default_proracun_wide.asp?sid=6261pdf  </w:t>
      </w:r>
    </w:p>
    <w:p>
      <w:r>
        <w:t xml:space="preserve">Proračunski korisnik obuhvaćen konsolidacijom:</w:t>
      </w:r>
    </w:p>
    <w:p>
      <w:r>
        <w:t xml:space="preserve">* 1. Dječji vrtić Šandrovac ,Bjelovarska 3a, 43227 Šandrovac ,  Matični broj: 05297478 OIB: 22403992918  </w:t>
      </w:r>
    </w:p>
    <w:p>
      <w:r>
        <w:t xml:space="preserve">*2. Dom za starije i nemoćne osobe Šandrovac ,Bjelovarska bb, 43227 Šandrovac, OIB: 22795935829</w:t>
      </w:r>
    </w:p>
    <w:p>
      <w:r>
        <w:t xml:space="preserve"> Unutar grupne transakcije koje su u izvještajima eliminirane:  U Izvještaju o prihodima i rashodima, primicima i izdacima (Obrazac: PR-RAS) eliminirani su  rashodi osnivača na podskupini 367 Prijenos proračunskim korisnicima iz nadležnog proračuna za financiranje redovne djelatnosti (Šifra 367- Prijenosi proračunskim korisnicima)  u iznosu od 110.624,15 € koji su prikazani u izvještaju za Općinu Šandrovac.</w:t>
      </w:r>
    </w:p>
    <w:p>
      <w:r>
        <w:t xml:space="preserve"> *Dječji vrtić Šandrovac - 87.263,41€</w:t>
      </w:r>
    </w:p>
    <w:p>
      <w:r>
        <w:t xml:space="preserve">*Dom za starije i nemoćne osobe Šandrovac – 23.360,74 €</w:t>
      </w:r>
    </w:p>
    <w:p>
      <w:r>
        <w:t xml:space="preserve">Prihodi poslovanja ukupni ( šifra 6) iznose 838.862,17 € i u odnosu na prošlu godinu manji se 57,70%.  Manji prihod je iz razloga što je prošle godine ostvaren prihod (1.350.000.€)  za saniranje klizišta a  radovi nisu izvođeni u 2025.g.</w:t>
      </w:r>
    </w:p>
    <w:p>
      <w:r>
        <w:t xml:space="preserve">Ukupni rashodi poslovanja  iznose 758.317,50€ te su u odnosu na prošlu godinu veći 40,8%.  Najveće odstupanje u odnosu na prošlu godinu bilježe se na Materijalnim rashodima (skupina 32) - radovi na sanaciji klizišta.</w:t>
      </w:r>
    </w:p>
    <w:p>
      <w:r>
        <w:t xml:space="preserve">Višak prihoda poslovanja iznosi  80.544,67 €  i rezultat je konsolidacije</w:t>
      </w:r>
    </w:p>
    <w:p>
      <w:r>
        <w:t xml:space="preserve">Prihodi od prodaje nef.imovine  (šifra 7) iznosi 59,50 € i u odnosu na prošlu godinu manji je 30,60%</w:t>
      </w:r>
    </w:p>
    <w:p>
      <w:r>
        <w:t xml:space="preserve">Ukupni rashodi za nabavu nef.imovine (šifra 4) iznosi 47.681,64 €  </w:t>
      </w:r>
    </w:p>
    <w:p>
      <w:r>
        <w:t xml:space="preserve">Rashodi za nabavu nef.imovine veći su od prihoda prodaje nef.imovine tako ta je manjak prihoda od nefinancijske imovine 47.622,14€</w:t>
      </w:r>
    </w:p>
    <w:p>
      <w:r>
        <w:t xml:space="preserve">Višak  prihoda i primitaka  iznose 32.922,53 €</w:t>
      </w:r>
    </w:p>
    <w:p>
      <w:r>
        <w:t xml:space="preserve"> </w:t>
      </w:r>
    </w:p>
    <w:p>
      <w:r>
        <w:t xml:space="preserve"> </w:t>
      </w:r>
    </w:p>
    <w:p>
      <w:r>
        <w:br/>
      </w:r>
    </w:p>
    <w:p>
      <w:pPr>
        <w:jc w:val="center"/>
        <w:pStyle w:val="Normal"/>
        <w:spacing w:line="240" w:lineRule="auto"/>
        <w:keepNext/>
      </w:pPr>
      <w:r>
        <w:rPr>
          <w:sz w:val="28"/>
          <w:rFonts w:ascii="Times New Roman" w:hAnsi="Times New Roman"/>
        </w:rPr>
        <w:t xml:space="preserve">Bilješka 2.</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PRIHODI POSLOVANJA (šifre 61+62+63+64+65+66+67+68)</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1.984.385,08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838.862,17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42,3</w:t>
            </w:r>
          </w:p>
        </w:tc>
      </w:tr>
    </w:tbl>
    <w:p>
      <w:pPr>
        <w:spacing w:before="0" w:after="0"/>
      </w:pPr>
    </w:p>
    <w:p>
      <w:r>
        <w:t xml:space="preserve">U odnosu na prošlu godinu, prihodi poslovanja manji su 57,70%. Najveće smanjenje je u prihodima od pomoći.</w:t>
      </w:r>
    </w:p>
    <w:p/>
    <w:p>
      <w:pPr>
        <w:jc w:val="center"/>
        <w:pStyle w:val="Normal"/>
        <w:spacing w:line="240" w:lineRule="auto"/>
        <w:keepNext/>
      </w:pPr>
      <w:r>
        <w:rPr>
          <w:sz w:val="28"/>
          <w:rFonts w:ascii="Times New Roman" w:hAnsi="Times New Roman"/>
        </w:rPr>
        <w:t xml:space="preserve">Bilješka 3.</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Prihodi od poreza (šifre 611+612+613+614+615+616)</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141.781,02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266.598,98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188,0</w:t>
            </w:r>
          </w:p>
        </w:tc>
      </w:tr>
    </w:tbl>
    <w:p>
      <w:pPr>
        <w:spacing w:before="0" w:after="0"/>
      </w:pPr>
    </w:p>
    <w:p>
      <w:r>
        <w:t xml:space="preserve">U odnosu na prošlu godinu prihodi od poreza veći su za 88,00% . Najveće povećanje odnosi se na porez na dohodak.</w:t>
      </w:r>
    </w:p>
    <w:p/>
    <w:p>
      <w:pPr>
        <w:jc w:val="center"/>
        <w:pStyle w:val="Normal"/>
        <w:spacing w:line="240" w:lineRule="auto"/>
        <w:keepNext/>
      </w:pPr>
      <w:r>
        <w:rPr>
          <w:sz w:val="28"/>
          <w:rFonts w:ascii="Times New Roman" w:hAnsi="Times New Roman"/>
        </w:rPr>
        <w:t xml:space="preserve">Bilješka 4.</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611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Porez na dohodak (šifre 6111 do 6116 - 6117 - 6119)</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611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126.200,34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250.303,15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198,3</w:t>
            </w:r>
          </w:p>
        </w:tc>
      </w:tr>
    </w:tbl>
    <w:p>
      <w:pPr>
        <w:spacing w:before="0" w:after="0"/>
      </w:pPr>
    </w:p>
    <w:p>
      <w:r>
        <w:t xml:space="preserve">Prihod od Poreza na dohodak od nesamostalnog rada bilježi  rast od 98,3 % u odnosu na prethodno razdoblje radi rasta plaća stanovnika sa područja Općine Šandrovac.</w:t>
      </w:r>
    </w:p>
    <w:p/>
    <w:p>
      <w:pPr>
        <w:jc w:val="center"/>
        <w:pStyle w:val="Normal"/>
        <w:spacing w:line="240" w:lineRule="auto"/>
        <w:keepNext/>
      </w:pPr>
      <w:r>
        <w:rPr>
          <w:sz w:val="28"/>
          <w:rFonts w:ascii="Times New Roman" w:hAnsi="Times New Roman"/>
        </w:rPr>
        <w:t xml:space="preserve">Bilješka 5.</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6111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Porez na dohodak od nesamostalnog rada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6111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126.200,34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250.303,15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198,3</w:t>
            </w:r>
          </w:p>
        </w:tc>
      </w:tr>
    </w:tbl>
    <w:p>
      <w:pPr>
        <w:spacing w:before="0" w:after="0"/>
      </w:pPr>
    </w:p>
    <w:p>
      <w:r>
        <w:t xml:space="preserve">Prihod od Poreza na dohodak od nesamostalnog rada bilježi  rast od 98,3 % u odnosu na prethodno razdoblje radi rasta plaća stanovnika sa područja Općine Šandrovac.</w:t>
      </w:r>
    </w:p>
    <w:p/>
    <w:p>
      <w:pPr>
        <w:jc w:val="center"/>
        <w:pStyle w:val="Normal"/>
        <w:spacing w:line="240" w:lineRule="auto"/>
        <w:keepNext/>
      </w:pPr>
      <w:r>
        <w:rPr>
          <w:sz w:val="28"/>
          <w:rFonts w:ascii="Times New Roman" w:hAnsi="Times New Roman"/>
        </w:rPr>
        <w:t xml:space="preserve">Bilješka 6.</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613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Porezi na imovinu (šifre 6131 do 6135)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613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14.808,59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15.696,68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106,0</w:t>
            </w:r>
          </w:p>
        </w:tc>
      </w:tr>
    </w:tbl>
    <w:p>
      <w:pPr>
        <w:spacing w:before="0" w:after="0"/>
      </w:pPr>
    </w:p>
    <w:p>
      <w:r>
        <w:t xml:space="preserve">Prihodi od poreza na imovinu bilježi rast od  6% u odnosu na 2025.</w:t>
      </w:r>
    </w:p>
    <w:p/>
    <w:p>
      <w:pPr>
        <w:jc w:val="center"/>
        <w:pStyle w:val="Normal"/>
        <w:spacing w:line="240" w:lineRule="auto"/>
        <w:keepNext/>
      </w:pPr>
      <w:r>
        <w:rPr>
          <w:sz w:val="28"/>
          <w:rFonts w:ascii="Times New Roman" w:hAnsi="Times New Roman"/>
        </w:rPr>
        <w:t xml:space="preserve">Bilješka 7.</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6131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Stalni porezi na nepokretnu imovinu (zemlju, zgrade, kuće i ostalo)</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6131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144,00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932,39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647,5</w:t>
            </w:r>
          </w:p>
        </w:tc>
      </w:tr>
    </w:tbl>
    <w:p>
      <w:pPr>
        <w:spacing w:before="0" w:after="0"/>
      </w:pPr>
    </w:p>
    <w:p>
      <w:r>
        <w:t xml:space="preserve"> Stalni porezi na nepokretnu imovinu  odnose se na  dugovanja za porez na vikendice  i poreza na nekretnine te je u ovom kvartalu ostvaren veliki postotak u odnosu na prošlu godinu. ( Porez na kuće za odmor 67,67 € i Porez na nekretnine 864,71 €)</w:t>
      </w:r>
    </w:p>
    <w:p/>
    <w:p>
      <w:pPr>
        <w:jc w:val="center"/>
        <w:pStyle w:val="Normal"/>
        <w:spacing w:line="240" w:lineRule="auto"/>
        <w:keepNext/>
      </w:pPr>
      <w:r>
        <w:rPr>
          <w:sz w:val="28"/>
          <w:rFonts w:ascii="Times New Roman" w:hAnsi="Times New Roman"/>
        </w:rPr>
        <w:t xml:space="preserve">Bilješka 8.</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6134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Povremeni porezi na imovinu</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6134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14.664,59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14.764,29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100,7</w:t>
            </w:r>
          </w:p>
        </w:tc>
      </w:tr>
    </w:tbl>
    <w:p>
      <w:pPr>
        <w:spacing w:before="0" w:after="0"/>
      </w:pPr>
    </w:p>
    <w:p>
      <w:r>
        <w:t xml:space="preserve">Ovaj prihod odnosi se na porez na nekretnine .Porez na nekretnine utvrđuje se u skladu sa Zakonom o lokalnim porezima te odlukama o gradskim i općinskim porezima. Porez na nekretnine uveden je 1. siječnja 2025. kao zamjena za porez na kuće za odmor . Bilježi rast 0,7% više od prošlog izvještajnog razdoblja.</w:t>
      </w:r>
    </w:p>
    <w:p/>
    <w:p>
      <w:pPr>
        <w:jc w:val="center"/>
        <w:pStyle w:val="Normal"/>
        <w:spacing w:line="240" w:lineRule="auto"/>
        <w:keepNext/>
      </w:pPr>
      <w:r>
        <w:rPr>
          <w:sz w:val="28"/>
          <w:rFonts w:ascii="Times New Roman" w:hAnsi="Times New Roman"/>
        </w:rPr>
        <w:t xml:space="preserve">Bilješka 9.</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614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Porezi na robu i usluge (šifre 6141 do 61476148)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614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772,09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599,15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77,6</w:t>
            </w:r>
          </w:p>
        </w:tc>
      </w:tr>
    </w:tbl>
    <w:p>
      <w:pPr>
        <w:spacing w:before="0" w:after="0"/>
      </w:pPr>
    </w:p>
    <w:p>
      <w:r>
        <w:t xml:space="preserve">Prihod se odnosi na Porez na potrošnju alkoholnih i bezalkoholnih pića a ostvaren je  22,40%  manje od prošlog izvještajnog razdoblja  .  Porez plaća samo jedan obveznik na području Općine.</w:t>
      </w:r>
    </w:p>
    <w:p/>
    <w:p>
      <w:pPr>
        <w:jc w:val="center"/>
        <w:pStyle w:val="Normal"/>
        <w:spacing w:line="240" w:lineRule="auto"/>
        <w:keepNext/>
      </w:pPr>
      <w:r>
        <w:rPr>
          <w:sz w:val="28"/>
          <w:rFonts w:ascii="Times New Roman" w:hAnsi="Times New Roman"/>
        </w:rPr>
        <w:t xml:space="preserve">Bilješka 10.</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6142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Porez na promet</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6142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772,09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599,15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77,6</w:t>
            </w:r>
          </w:p>
        </w:tc>
      </w:tr>
    </w:tbl>
    <w:p>
      <w:pPr>
        <w:spacing w:before="0" w:after="0"/>
      </w:pPr>
    </w:p>
    <w:p>
      <w:r>
        <w:t xml:space="preserve">Prihod se odnosi na Porez na potrošnju alkoholnih i bezalkoholnih pića a ostvaren je  22,40%  manje od prošlog izvještajnog razdoblja  .  Porez plaća samo jedan obveznik na području Općine.</w:t>
      </w:r>
    </w:p>
    <w:p/>
    <w:p>
      <w:pPr>
        <w:jc w:val="center"/>
        <w:pStyle w:val="Normal"/>
        <w:spacing w:line="240" w:lineRule="auto"/>
        <w:keepNext/>
      </w:pPr>
      <w:r>
        <w:rPr>
          <w:sz w:val="28"/>
          <w:rFonts w:ascii="Times New Roman" w:hAnsi="Times New Roman"/>
        </w:rPr>
        <w:t xml:space="preserve">Bilješka 11.</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Pomoći iz inozemstva i od subjekata unutar općeg proračuna (šifre 631+632+633+634+635+636+637+638+639)</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1.588.870,58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248.514,24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15,6</w:t>
            </w:r>
          </w:p>
        </w:tc>
      </w:tr>
    </w:tbl>
    <w:p>
      <w:pPr>
        <w:spacing w:before="0" w:after="0"/>
      </w:pPr>
    </w:p>
    <w:p>
      <w:r>
        <w:t xml:space="preserve">Pomoći iz inozemstva i od subjekata unutar općeg proračuna ostvareni su u iznosu od 248.514,24€ . U odnosu na isto razdoblje 2025  pomoći su ostvarene  84,40%  manje . Pomoći se odnose na sredstva fiskalnog izravnanje i tekuće potpore za predškolske djelatnosti te kapitalne pomoći iz državnog pror.</w:t>
      </w:r>
    </w:p>
    <w:p/>
    <w:p>
      <w:pPr>
        <w:jc w:val="center"/>
        <w:pStyle w:val="Normal"/>
        <w:spacing w:line="240" w:lineRule="auto"/>
        <w:keepNext/>
      </w:pPr>
      <w:r>
        <w:rPr>
          <w:sz w:val="28"/>
          <w:rFonts w:ascii="Times New Roman" w:hAnsi="Times New Roman"/>
        </w:rPr>
        <w:t xml:space="preserve">Bilješka 12.</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633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Pomoći proračunu i izvanproračunskim korisnicima iz drugih proračuna (šifre 6331+6332)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633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218.870,58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248.514,24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113,5</w:t>
            </w:r>
          </w:p>
        </w:tc>
      </w:tr>
    </w:tbl>
    <w:p>
      <w:pPr>
        <w:spacing w:before="0" w:after="0"/>
      </w:pPr>
    </w:p>
    <w:p>
      <w:r>
        <w:t xml:space="preserve">Pomoći iz inozemstva i od subjekata unutar općeg proračuna ostvareni su u iznosu od 248.514,24€ . U odnosu na isto razdoblje 2025  pomoći su ostvarene  84,40%  manje . Pomoći se odnose na sredstva fiskalnog izravnanje i tekuće potpore za predškolske djelatnosti te kapitalne pomoći iz državnog pror.</w:t>
      </w:r>
    </w:p>
    <w:p/>
    <w:p>
      <w:pPr>
        <w:jc w:val="center"/>
        <w:pStyle w:val="Normal"/>
        <w:spacing w:line="240" w:lineRule="auto"/>
        <w:keepNext/>
      </w:pPr>
      <w:r>
        <w:rPr>
          <w:sz w:val="28"/>
          <w:rFonts w:ascii="Times New Roman" w:hAnsi="Times New Roman"/>
        </w:rPr>
        <w:t xml:space="preserve">Bilješka 13.</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6331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Tekuće pomoći proračunu i izvanproračunskim korisnicima iz drugih proračuna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6331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218.870,58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225.326,74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102,9</w:t>
            </w:r>
          </w:p>
        </w:tc>
      </w:tr>
    </w:tbl>
    <w:p>
      <w:pPr>
        <w:spacing w:before="0" w:after="0"/>
      </w:pPr>
    </w:p>
    <w:p>
      <w:r>
        <w:t xml:space="preserve">Pomoći iz inozemstva i od subjekata unutar općeg proračuna ostvareni su u iznosu od 225.326,74€ . U odnosu na isto razdoblje 2025  pomoći su bilježe blagi rast od 2,9% više . Pomoći se odnose na sredstva fiskalnog izravnanje i tekuće potpore za predškolske djelatnosti </w:t>
      </w:r>
    </w:p>
    <w:p/>
    <w:p>
      <w:pPr>
        <w:jc w:val="center"/>
        <w:pStyle w:val="Normal"/>
        <w:spacing w:line="240" w:lineRule="auto"/>
        <w:keepNext/>
      </w:pPr>
      <w:r>
        <w:rPr>
          <w:sz w:val="28"/>
          <w:rFonts w:ascii="Times New Roman" w:hAnsi="Times New Roman"/>
        </w:rPr>
        <w:t xml:space="preserve">Bilješka 14.</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6332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Kapitalne pomoći proračunu i izvanproračunskim korisnicima iz drugih proračuna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6332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23.187,50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r>
        <w:t xml:space="preserve">Kapitalne pomoći proračunu i izvanproračunskim korisnicima iz drugih proračuna ostvarene su 23.187,50 € i odnose se na sredstva MUPa za sanaciju opasnih mjesta.</w:t>
      </w:r>
    </w:p>
    <w:p/>
    <w:p>
      <w:pPr>
        <w:jc w:val="center"/>
        <w:pStyle w:val="Normal"/>
        <w:spacing w:line="240" w:lineRule="auto"/>
        <w:keepNext/>
      </w:pPr>
      <w:r>
        <w:rPr>
          <w:sz w:val="28"/>
          <w:rFonts w:ascii="Times New Roman" w:hAnsi="Times New Roman"/>
        </w:rPr>
        <w:t xml:space="preserve">Bilješka 15.</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638</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Pomoći temeljem prijenosa EU sredstava (šifre 6381+6382)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638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1.370.000,00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w:t>
            </w:r>
          </w:p>
        </w:tc>
      </w:tr>
    </w:tbl>
    <w:p>
      <w:pPr>
        <w:spacing w:before="0" w:after="0"/>
      </w:pPr>
    </w:p>
    <w:p>
      <w:r>
        <w:t xml:space="preserve">Za ovo izvještajno razdoblje nisu ostvarena sredstva po ovoj osnovi. U prošlom izvj.razdoblju ostvarene su Kapitalne pomoći iz drž. pror. temeljem prijenosa EU sredstava :  -pomoći iz drž.pror. za Klizište u ul.Vinogradska , Šandrovac u iznosu od 1.350.000,00 a temeljem Odluke vlade RH i putem Ministarstva prostornog uređenja , graditeljstva i državne imovine za sanaciju klizišta u Vinogradskoj ulici u Šandrovcu. - pomoći -APPRi ruralnom razvoju-putem Lokalne agencijske grupe  Sjeverna Bilogora  u iznosu od 20.000.€ za rekonstrukcije objekata</w:t>
      </w:r>
    </w:p>
    <w:p/>
    <w:p>
      <w:pPr>
        <w:jc w:val="center"/>
        <w:pStyle w:val="Normal"/>
        <w:spacing w:line="240" w:lineRule="auto"/>
        <w:keepNext/>
      </w:pPr>
      <w:r>
        <w:rPr>
          <w:sz w:val="28"/>
          <w:rFonts w:ascii="Times New Roman" w:hAnsi="Times New Roman"/>
        </w:rPr>
        <w:t xml:space="preserve">Bilješka 16.</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6382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Kapitalne pomoći temeljem prijenosa EU sredstava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6382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1.370.000,00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w:t>
            </w:r>
          </w:p>
        </w:tc>
      </w:tr>
    </w:tbl>
    <w:p>
      <w:pPr>
        <w:spacing w:before="0" w:after="0"/>
      </w:pPr>
    </w:p>
    <w:p>
      <w:r>
        <w:t xml:space="preserve">Za ovo izvještajno razdoblje nisu ostvarena sredstva po ovoj osnovi. U prošlom izvj.razdoblju ostvarene su Kapitalne pomoći iz drž. pror. temeljem prijenosa EU sredstava :  -pomoći iz drž.pror. za Klizište u ul.Vinogradska , Šandrovac u iznosu od 1.350.000,00 a temeljem Odluke vlade RH i putem Ministarstva prostornog uređenja , graditeljstva i državne imovine za sanaciju klizišta u Vinogradskoj ulici u Šandrovcu. - pomoći -APPRi ruralnom razvoju-putem Lokalne agencijske grupe  Sjeverna Bilogora  u iznosu od 20.000.€ za rekonstrukcije objekata</w:t>
      </w:r>
    </w:p>
    <w:p/>
    <w:p>
      <w:pPr>
        <w:jc w:val="center"/>
        <w:pStyle w:val="Normal"/>
        <w:spacing w:line="240" w:lineRule="auto"/>
        <w:keepNext/>
      </w:pPr>
      <w:r>
        <w:rPr>
          <w:sz w:val="28"/>
          <w:rFonts w:ascii="Times New Roman" w:hAnsi="Times New Roman"/>
        </w:rPr>
        <w:t xml:space="preserve">Bilješka 17.</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Prihodi od imovine (šifre 641+642+643)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138.087,16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144.308,45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104,5</w:t>
            </w:r>
          </w:p>
        </w:tc>
      </w:tr>
    </w:tbl>
    <w:p>
      <w:pPr>
        <w:spacing w:before="0" w:after="0"/>
      </w:pPr>
    </w:p>
    <w:p>
      <w:r>
        <w:t xml:space="preserve">U odnosu na prošlu godinu prihodi od imovine bilježe blagi rast od 4,5%</w:t>
      </w:r>
    </w:p>
    <w:p/>
    <w:p>
      <w:pPr>
        <w:jc w:val="center"/>
        <w:pStyle w:val="Normal"/>
        <w:spacing w:line="240" w:lineRule="auto"/>
        <w:keepNext/>
      </w:pPr>
      <w:r>
        <w:rPr>
          <w:sz w:val="28"/>
          <w:rFonts w:ascii="Times New Roman" w:hAnsi="Times New Roman"/>
        </w:rPr>
        <w:t xml:space="preserve">Bilješka 18.</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642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Prihodi od nefinancijske imovine (šifre 6421 do 6429)</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642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138.087,16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144.308,45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104,5</w:t>
            </w:r>
          </w:p>
        </w:tc>
      </w:tr>
    </w:tbl>
    <w:p>
      <w:pPr>
        <w:spacing w:before="0" w:after="0"/>
      </w:pPr>
    </w:p>
    <w:p>
      <w:r>
        <w:t xml:space="preserve">U odnosu na prošlu godinu prihodi od imovine bilježe blagi rast od 4,5%</w:t>
      </w:r>
    </w:p>
    <w:p/>
    <w:p>
      <w:pPr>
        <w:jc w:val="center"/>
        <w:pStyle w:val="Normal"/>
        <w:spacing w:line="240" w:lineRule="auto"/>
        <w:keepNext/>
      </w:pPr>
      <w:r>
        <w:rPr>
          <w:sz w:val="28"/>
          <w:rFonts w:ascii="Times New Roman" w:hAnsi="Times New Roman"/>
        </w:rPr>
        <w:t xml:space="preserve">Bilješka 19.</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6422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Prihodi od zakupa i iznajmljivanja imovine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6422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14.365,21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16.781,55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116,8</w:t>
            </w:r>
          </w:p>
        </w:tc>
      </w:tr>
    </w:tbl>
    <w:p>
      <w:pPr>
        <w:spacing w:before="0" w:after="0"/>
      </w:pPr>
    </w:p>
    <w:p>
      <w:r>
        <w:t xml:space="preserve">prihodi od zakupa i iznajmljivanja imovine  čine : * koncesije - 100,00€ , *prihod od zakupa poljoprivrednog zemljišta -4.275,23 *najamnina i zakup poslovnih prostora - 12.506,32€  *</w:t>
      </w:r>
    </w:p>
    <w:p/>
    <w:p>
      <w:pPr>
        <w:jc w:val="center"/>
        <w:pStyle w:val="Normal"/>
        <w:spacing w:line="240" w:lineRule="auto"/>
        <w:keepNext/>
      </w:pPr>
      <w:r>
        <w:rPr>
          <w:sz w:val="28"/>
          <w:rFonts w:ascii="Times New Roman" w:hAnsi="Times New Roman"/>
        </w:rPr>
        <w:t xml:space="preserve">Bilješka 20.</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6423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Naknada za korištenje nefinancijske imovine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6423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123.682,14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127.426,90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103,0</w:t>
            </w:r>
          </w:p>
        </w:tc>
      </w:tr>
    </w:tbl>
    <w:p>
      <w:pPr>
        <w:spacing w:before="0" w:after="0"/>
      </w:pPr>
    </w:p>
    <w:p>
      <w:r>
        <w:t xml:space="preserve">Prihod od naknade za korištenje nefinancijske imovine čine : *naknada za eksploataciju mineralnih sirovina - naftna renta - 99.533,38 *pravo služnosti - 17.107,67 *eksploatacija- kaptažni plin  27.893,52 .  Ovi prihodi bilježe blagi rast od 3%.</w:t>
      </w:r>
    </w:p>
    <w:p/>
    <w:p>
      <w:pPr>
        <w:jc w:val="center"/>
        <w:pStyle w:val="Normal"/>
        <w:spacing w:line="240" w:lineRule="auto"/>
        <w:keepNext/>
      </w:pPr>
      <w:r>
        <w:rPr>
          <w:sz w:val="28"/>
          <w:rFonts w:ascii="Times New Roman" w:hAnsi="Times New Roman"/>
        </w:rPr>
        <w:t xml:space="preserve">Bilješka 21.</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Prihodi od upravnih i administrativnih pristojbi, pristojbi po posebnim propisima i naknada (šifre 651+652+653+654)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115.646,32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179.440,50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155,2</w:t>
            </w:r>
          </w:p>
        </w:tc>
      </w:tr>
    </w:tbl>
    <w:p>
      <w:pPr>
        <w:spacing w:before="0" w:after="0"/>
      </w:pPr>
    </w:p>
    <w:p>
      <w:r>
        <w:t xml:space="preserve">Prihodi od upravnih i administrativnih pristojbi, pristojbi po posebnim propisima i naknada  u odnosu na prošlo izvještajno razdoblje ostvareno je 55,2% više. Povećanje uglavnom se odnosi na prihode po posebnim propisima i komunalnim doprinosima .</w:t>
      </w:r>
    </w:p>
    <w:p/>
    <w:p>
      <w:pPr>
        <w:jc w:val="center"/>
        <w:pStyle w:val="Normal"/>
        <w:spacing w:line="240" w:lineRule="auto"/>
        <w:keepNext/>
      </w:pPr>
      <w:r>
        <w:rPr>
          <w:sz w:val="28"/>
          <w:rFonts w:ascii="Times New Roman" w:hAnsi="Times New Roman"/>
        </w:rPr>
        <w:t xml:space="preserve">Bilješka 22.</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651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Upravne i administrativne pristojbe (šifre 6511 do 6514)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651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67,75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11,29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16,7</w:t>
            </w:r>
          </w:p>
        </w:tc>
      </w:tr>
    </w:tbl>
    <w:p>
      <w:pPr>
        <w:spacing w:before="0" w:after="0"/>
      </w:pPr>
    </w:p>
    <w:p>
      <w:r>
        <w:t xml:space="preserve">Prihod od ostalih  pristojbi i naknada  ostvaren u iznosu od 11,29 € odnosi se na boravišnu pristojbu. Manji je za 83,3% u odnosu na 2025.</w:t>
      </w:r>
    </w:p>
    <w:p/>
    <w:p>
      <w:pPr>
        <w:jc w:val="center"/>
        <w:pStyle w:val="Normal"/>
        <w:spacing w:line="240" w:lineRule="auto"/>
        <w:keepNext/>
      </w:pPr>
      <w:r>
        <w:rPr>
          <w:sz w:val="28"/>
          <w:rFonts w:ascii="Times New Roman" w:hAnsi="Times New Roman"/>
        </w:rPr>
        <w:t xml:space="preserve">Bilješka 23.</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6514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Ostale pristojbe i naknade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6514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67,75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11,29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16,7</w:t>
            </w:r>
          </w:p>
        </w:tc>
      </w:tr>
    </w:tbl>
    <w:p>
      <w:pPr>
        <w:spacing w:before="0" w:after="0"/>
      </w:pPr>
    </w:p>
    <w:p>
      <w:r>
        <w:t xml:space="preserve">Prihod od ostalih  pristojbi i naknada  ostvaren u iznosu od 11,29 € odnosi se na boravišnu pristojbu. Manji je za 83,3% u odnosu na 2025.</w:t>
      </w:r>
    </w:p>
    <w:p/>
    <w:p>
      <w:pPr>
        <w:jc w:val="center"/>
        <w:pStyle w:val="Normal"/>
        <w:spacing w:line="240" w:lineRule="auto"/>
        <w:keepNext/>
      </w:pPr>
      <w:r>
        <w:rPr>
          <w:sz w:val="28"/>
          <w:rFonts w:ascii="Times New Roman" w:hAnsi="Times New Roman"/>
        </w:rPr>
        <w:t xml:space="preserve">Bilješka 24.</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652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Prihodi po posebnim propisima (šifre 6521 do 6528)</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652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75.495,11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112.656,73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149,2</w:t>
            </w:r>
          </w:p>
        </w:tc>
      </w:tr>
    </w:tbl>
    <w:p>
      <w:pPr>
        <w:spacing w:before="0" w:after="0"/>
      </w:pPr>
    </w:p>
    <w:p>
      <w:r>
        <w:t xml:space="preserve">To su nesvrsishodni ili namjenski prihodi koji se ne smatraju klasičnim porezima niti upravnim pristojbama (biljezima), već se naplaćuju na temelju specifičnih zakona za određene usluge ili prava.</w:t>
      </w:r>
    </w:p>
    <w:p>
      <w:r>
        <w:t xml:space="preserve">U odnosu na prošlo izvještajno razdoblje ostvareni su prihodi 49,2% više. Povećanje se odnosi u najvećem dijelu na šumski doprinos.</w:t>
      </w:r>
    </w:p>
    <w:p/>
    <w:p>
      <w:pPr>
        <w:jc w:val="center"/>
        <w:pStyle w:val="Normal"/>
        <w:spacing w:line="240" w:lineRule="auto"/>
        <w:keepNext/>
      </w:pPr>
      <w:r>
        <w:rPr>
          <w:sz w:val="28"/>
          <w:rFonts w:ascii="Times New Roman" w:hAnsi="Times New Roman"/>
        </w:rPr>
        <w:t xml:space="preserve">Bilješka 25.</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6524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Doprinosi za šume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6524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12.918,42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45.487,06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352,1</w:t>
            </w:r>
          </w:p>
        </w:tc>
      </w:tr>
    </w:tbl>
    <w:p>
      <w:pPr>
        <w:spacing w:before="0" w:after="0"/>
      </w:pPr>
    </w:p>
    <w:p>
      <w:r>
        <w:t xml:space="preserve">U odnosu na prošlu godinu, doprinos za šume ostvaren je 252,1% % više  u odnosu na 2025. a iz razloga radi povećane aktivnosti rušenja šuma.</w:t>
      </w:r>
    </w:p>
    <w:p/>
    <w:p>
      <w:pPr>
        <w:jc w:val="center"/>
        <w:pStyle w:val="Normal"/>
        <w:spacing w:line="240" w:lineRule="auto"/>
        <w:keepNext/>
      </w:pPr>
      <w:r>
        <w:rPr>
          <w:sz w:val="28"/>
          <w:rFonts w:ascii="Times New Roman" w:hAnsi="Times New Roman"/>
        </w:rPr>
        <w:t xml:space="preserve">Bilješka 26.</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6526</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Ostali nespomenuti prihodi</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6526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62.549,23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67.169,67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107,4</w:t>
            </w:r>
          </w:p>
        </w:tc>
      </w:tr>
    </w:tbl>
    <w:p>
      <w:pPr>
        <w:spacing w:before="0" w:after="0"/>
      </w:pPr>
    </w:p>
    <w:p>
      <w:r>
        <w:t xml:space="preserve">Prihod po ovoj osnovi ostvaren je 7% više u odnosu na prošlu godinu . Za ovo izvještajno razdoblje Ostali nespomenuti prihodi ostvareni su 67.169,67 € a čine ih : * prih.s naslova osiguranja, šteta i ref.-1.937,21 ,*prihod za Program Zaželi -62.235,45,  *ostali nespomenuti prihodi - 65.232,46 </w:t>
      </w:r>
    </w:p>
    <w:p/>
    <w:p>
      <w:pPr>
        <w:jc w:val="center"/>
        <w:pStyle w:val="Normal"/>
        <w:spacing w:line="240" w:lineRule="auto"/>
        <w:keepNext/>
      </w:pPr>
      <w:r>
        <w:rPr>
          <w:sz w:val="28"/>
          <w:rFonts w:ascii="Times New Roman" w:hAnsi="Times New Roman"/>
        </w:rPr>
        <w:t xml:space="preserve">Bilješka 27.</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653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Komunalni doprinosi i naknade (šifre 6531 do 6533)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653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40.083,46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66.772,48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166,6</w:t>
            </w:r>
          </w:p>
        </w:tc>
      </w:tr>
    </w:tbl>
    <w:p>
      <w:pPr>
        <w:spacing w:before="0" w:after="0"/>
      </w:pPr>
    </w:p>
    <w:p>
      <w:r>
        <w:t xml:space="preserve">Prihodi po ovoj osnovi u odnosu na prošlu godinu ostvareni su 66,6 % više a čine ih komunalna naknada .</w:t>
      </w:r>
    </w:p>
    <w:p>
      <w:r>
        <w:t xml:space="preserve"> *komunalna naknada ostvarena je 85,3% više nego prošle godine a najveći razlog ostvarenja je povećanje komunalne naknade za 2026.g.</w:t>
      </w:r>
    </w:p>
    <w:p>
      <w:r>
        <w:t xml:space="preserve"> *prihod od komunalnih priključaka nisu ostvareni.</w:t>
      </w:r>
    </w:p>
    <w:p/>
    <w:p>
      <w:pPr>
        <w:jc w:val="center"/>
        <w:pStyle w:val="Normal"/>
        <w:spacing w:line="240" w:lineRule="auto"/>
        <w:keepNext/>
      </w:pPr>
      <w:r>
        <w:rPr>
          <w:sz w:val="28"/>
          <w:rFonts w:ascii="Times New Roman" w:hAnsi="Times New Roman"/>
        </w:rPr>
        <w:t xml:space="preserve">Bilješka 28.</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6532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Komunalne naknade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6532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36.025,15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66.772,48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185,3</w:t>
            </w:r>
          </w:p>
        </w:tc>
      </w:tr>
    </w:tbl>
    <w:p>
      <w:pPr>
        <w:spacing w:before="0" w:after="0"/>
      </w:pPr>
    </w:p>
    <w:p>
      <w:r>
        <w:t xml:space="preserve"> *komunalna naknada ostvarena je 85,3% više nego prošle godine a najveći razlog ostvarenja je povećanje komunalne naknade za 2026.g.</w:t>
      </w:r>
    </w:p>
    <w:p>
      <w:r>
        <w:t xml:space="preserve"> </w:t>
      </w:r>
    </w:p>
    <w:p/>
    <w:p>
      <w:pPr>
        <w:jc w:val="center"/>
        <w:pStyle w:val="Normal"/>
        <w:spacing w:line="240" w:lineRule="auto"/>
        <w:keepNext/>
      </w:pPr>
      <w:r>
        <w:rPr>
          <w:sz w:val="28"/>
          <w:rFonts w:ascii="Times New Roman" w:hAnsi="Times New Roman"/>
        </w:rPr>
        <w:t xml:space="preserve">Bilješka 29.</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6533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Naknade za priključak</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6533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4.058,31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w:t>
            </w:r>
          </w:p>
        </w:tc>
      </w:tr>
    </w:tbl>
    <w:p>
      <w:pPr>
        <w:spacing w:before="0" w:after="0"/>
      </w:pPr>
    </w:p>
    <w:p>
      <w:r>
        <w:t xml:space="preserve">*prihod od komunalnih priključaka nisu ostvareni.</w:t>
      </w:r>
    </w:p>
    <w:p/>
    <w:p>
      <w:pPr>
        <w:jc w:val="center"/>
        <w:pStyle w:val="Normal"/>
        <w:spacing w:line="240" w:lineRule="auto"/>
        <w:keepNext/>
      </w:pPr>
      <w:r>
        <w:rPr>
          <w:sz w:val="28"/>
          <w:rFonts w:ascii="Times New Roman" w:hAnsi="Times New Roman"/>
        </w:rPr>
        <w:t xml:space="preserve">Bilješka 30.</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RASHODI POSLOVANJA (šifre 31+32+34+35+36+37+38)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538.581,37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758.317,50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140,8</w:t>
            </w:r>
          </w:p>
        </w:tc>
      </w:tr>
    </w:tbl>
    <w:p>
      <w:pPr>
        <w:spacing w:before="0" w:after="0"/>
      </w:pPr>
    </w:p>
    <w:p>
      <w:r>
        <w:t xml:space="preserve">Unutar grupne transakcije koje su u izvještajima eliminirane:  U Izvještaju o prihodima i rashodima, primicima i izdacima (Obrazac: PR-RAS) eliminirani su  rashodi osnivača na podskupini 367 Prijenos proračunskim korisnicima iz nadležnog proračuna za financiranje redovne djelatnosti (Šifra 367- Prijenosi proračunskim korisnicima)  u iznosu od 110.624,15 € koji su prikazani u izvještaju za Općinu Šandrovac.</w:t>
      </w:r>
    </w:p>
    <w:p>
      <w:r>
        <w:t xml:space="preserve"> *Dječji vrtić Šandrovac - 87.263,41€</w:t>
      </w:r>
    </w:p>
    <w:p>
      <w:r>
        <w:t xml:space="preserve">*Dom za starije i nemoćne osobe Šandrovac – 23.360,74 €</w:t>
      </w:r>
    </w:p>
    <w:p>
      <w:r>
        <w:t xml:space="preserve">Ukupni rashodi za razdoblje od 01.01.-30.06.2026 ostvareni su u iznosu od    758.317,50   € što je za 340,8% više  u odnosu na izvještajno razdoblje prošle godine. Rashodi su ostvareni kako slijedi u bilješkama:</w:t>
      </w:r>
    </w:p>
    <w:p/>
    <w:p>
      <w:pPr>
        <w:jc w:val="center"/>
        <w:pStyle w:val="Normal"/>
        <w:spacing w:line="240" w:lineRule="auto"/>
        <w:keepNext/>
      </w:pPr>
      <w:r>
        <w:rPr>
          <w:sz w:val="28"/>
          <w:rFonts w:ascii="Times New Roman" w:hAnsi="Times New Roman"/>
        </w:rPr>
        <w:t xml:space="preserve">Bilješka 31.</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Rashodi za zaposlene (šifre 311+312+313)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139.405,59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159.645,86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114,5</w:t>
            </w:r>
          </w:p>
        </w:tc>
      </w:tr>
    </w:tbl>
    <w:p>
      <w:pPr>
        <w:spacing w:before="0" w:after="0"/>
      </w:pPr>
    </w:p>
    <w:p>
      <w:r>
        <w:t xml:space="preserve">Iskazani su rashodi za zaposlene (159.645,86  € ) koji su u odnosu za prethodnu godinu veći  za 14,5%. Rast troškova odnosi se na povećanje plaća i troškova naknada. </w:t>
      </w:r>
    </w:p>
    <w:p/>
    <w:p>
      <w:pPr>
        <w:jc w:val="center"/>
        <w:pStyle w:val="Normal"/>
        <w:spacing w:line="240" w:lineRule="auto"/>
        <w:keepNext/>
      </w:pPr>
      <w:r>
        <w:rPr>
          <w:sz w:val="28"/>
          <w:rFonts w:ascii="Times New Roman" w:hAnsi="Times New Roman"/>
        </w:rPr>
        <w:t xml:space="preserve">Bilješka 32.</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311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Plaće (bruto) (šifre 3111 do 3114)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311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115.078,91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131.172,09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114,0</w:t>
            </w:r>
          </w:p>
        </w:tc>
      </w:tr>
    </w:tbl>
    <w:p>
      <w:pPr>
        <w:spacing w:before="0" w:after="0"/>
      </w:pPr>
    </w:p>
    <w:p>
      <w:r>
        <w:t xml:space="preserve">Bruto plaće u iznosu 131.172,09   čine plaće općine  69.520,16 i plaće Programa Zaželi u iznosu  45.558,75€. Rast troškova odnosi se na povećanje plaća i troškova naknada. Ujedno u prošlom izvještajnom razdoblju nije bilo djelatnica u Programu Zaželi.</w:t>
      </w:r>
    </w:p>
    <w:p/>
    <w:p>
      <w:pPr>
        <w:jc w:val="center"/>
        <w:pStyle w:val="Normal"/>
        <w:spacing w:line="240" w:lineRule="auto"/>
        <w:keepNext/>
      </w:pPr>
      <w:r>
        <w:rPr>
          <w:sz w:val="28"/>
          <w:rFonts w:ascii="Times New Roman" w:hAnsi="Times New Roman"/>
        </w:rPr>
        <w:t xml:space="preserve">Bilješka 33.</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3111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Plaće za redovan rad</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3111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114.355,41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130.833,09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114,4</w:t>
            </w:r>
          </w:p>
        </w:tc>
      </w:tr>
    </w:tbl>
    <w:p>
      <w:pPr>
        <w:spacing w:before="0" w:after="0"/>
      </w:pPr>
    </w:p>
    <w:p>
      <w:r>
        <w:t xml:space="preserve">Plaće za redovni rad  u iznosu 130.833,09 čine plaće JUO 56.953,06, ON 23.491,97 i plaće Programa Zaželi u iznosu  50.388,06€. Rast troškova odnosi se na povećanje plaća i troškova naknada.</w:t>
      </w:r>
    </w:p>
    <w:p/>
    <w:p>
      <w:pPr>
        <w:jc w:val="center"/>
        <w:pStyle w:val="Normal"/>
        <w:spacing w:line="240" w:lineRule="auto"/>
        <w:keepNext/>
      </w:pPr>
      <w:r>
        <w:rPr>
          <w:sz w:val="28"/>
          <w:rFonts w:ascii="Times New Roman" w:hAnsi="Times New Roman"/>
        </w:rPr>
        <w:t xml:space="preserve">Bilješka 34.</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3112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Plaće u naravi</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3112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723,50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339,00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46,9</w:t>
            </w:r>
          </w:p>
        </w:tc>
      </w:tr>
    </w:tbl>
    <w:p>
      <w:pPr>
        <w:spacing w:before="0" w:after="0"/>
      </w:pPr>
    </w:p>
    <w:p>
      <w:r>
        <w:t xml:space="preserve">Plaće u naravi  odnose se na TO u naravi</w:t>
      </w:r>
    </w:p>
    <w:p/>
    <w:p>
      <w:pPr>
        <w:jc w:val="center"/>
        <w:pStyle w:val="Normal"/>
        <w:spacing w:line="240" w:lineRule="auto"/>
        <w:keepNext/>
      </w:pPr>
      <w:r>
        <w:rPr>
          <w:sz w:val="28"/>
          <w:rFonts w:ascii="Times New Roman" w:hAnsi="Times New Roman"/>
        </w:rPr>
        <w:t xml:space="preserve">Bilješka 35.</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312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Ostali rashodi za zaposlene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312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5.458,05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6.886,30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126,2</w:t>
            </w:r>
          </w:p>
        </w:tc>
      </w:tr>
    </w:tbl>
    <w:p>
      <w:pPr>
        <w:spacing w:before="0" w:after="0"/>
      </w:pPr>
    </w:p>
    <w:p>
      <w:r>
        <w:t xml:space="preserve">Ostali rashodi za zaposlene u iznosu od  6.886,30€ i bilježe rast 26,2 %</w:t>
      </w:r>
    </w:p>
    <w:p>
      <w:r>
        <w:t xml:space="preserve">Ostali rashodi za zaposlene u iznosu od  5.458,05€ odnose se na troškove općine i programa Zaželi  - Jub.nagrada , uskrsnica i regres za GO </w:t>
      </w:r>
    </w:p>
    <w:p/>
    <w:p>
      <w:pPr>
        <w:jc w:val="center"/>
        <w:pStyle w:val="Normal"/>
        <w:spacing w:line="240" w:lineRule="auto"/>
        <w:keepNext/>
      </w:pPr>
      <w:r>
        <w:rPr>
          <w:sz w:val="28"/>
          <w:rFonts w:ascii="Times New Roman" w:hAnsi="Times New Roman"/>
        </w:rPr>
        <w:t xml:space="preserve">Bilješka 36.</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313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Doprinosi na plaće (šifre 3131 do 3133)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313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18.868,63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21.587,47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114,4</w:t>
            </w:r>
          </w:p>
        </w:tc>
      </w:tr>
    </w:tbl>
    <w:p>
      <w:pPr>
        <w:spacing w:before="0" w:after="0"/>
      </w:pPr>
    </w:p>
    <w:p>
      <w:r>
        <w:t xml:space="preserve">Doprinosi na plaće  -općina -13.273,44 -program Zaželi  -8.314,03</w:t>
      </w:r>
    </w:p>
    <w:p/>
    <w:p>
      <w:pPr>
        <w:jc w:val="center"/>
        <w:pStyle w:val="Normal"/>
        <w:spacing w:line="240" w:lineRule="auto"/>
        <w:keepNext/>
      </w:pPr>
      <w:r>
        <w:rPr>
          <w:sz w:val="28"/>
          <w:rFonts w:ascii="Times New Roman" w:hAnsi="Times New Roman"/>
        </w:rPr>
        <w:t xml:space="preserve">Bilješka 37.</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3132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Doprinosi za obvezno zdravstveno osiguranje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3132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18.868,63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21.587,47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114,4</w:t>
            </w:r>
          </w:p>
        </w:tc>
      </w:tr>
    </w:tbl>
    <w:p>
      <w:pPr>
        <w:spacing w:before="0" w:after="0"/>
      </w:pPr>
    </w:p>
    <w:p>
      <w:r>
        <w:t xml:space="preserve">Doprinosi na plaće  -općina -13.273,44 -program Zaželi  -8.314,03</w:t>
      </w:r>
    </w:p>
    <w:p/>
    <w:p>
      <w:pPr>
        <w:jc w:val="center"/>
        <w:pStyle w:val="Normal"/>
        <w:spacing w:line="240" w:lineRule="auto"/>
        <w:keepNext/>
      </w:pPr>
      <w:r>
        <w:rPr>
          <w:sz w:val="28"/>
          <w:rFonts w:ascii="Times New Roman" w:hAnsi="Times New Roman"/>
        </w:rPr>
        <w:t xml:space="preserve">Bilješka 38.</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Materijalni rashodi (šifre 321+322+323+324+325+329)</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247.815,49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458.077,81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184,8</w:t>
            </w:r>
          </w:p>
        </w:tc>
      </w:tr>
    </w:tbl>
    <w:p>
      <w:pPr>
        <w:spacing w:before="0" w:after="0"/>
      </w:pPr>
    </w:p>
    <w:p>
      <w:r>
        <w:t xml:space="preserve">U okviru računa ove skupine evidentiraju se rashodi korištenja usluga i dobara potrebni za redovno funkcioniranje i obavljanje djelatnosti proračuna i proračunskih korisnika.  Ova skupina  obuhvaća  rashode  za materijal i usluge  a odnose se na materijal i usluge za funkcioniranje djelatnosti predstavničkog i izvršnog tijela, jedinstvenog upravnog odjela , komunalnih djelatnosti, održavanje postojeće infrastrukture , javnu rasvjetu i sl.  Rashodi u iznosu od 458.077,81 €   voći su za 84,8%</w:t>
      </w:r>
    </w:p>
    <w:p/>
    <w:p>
      <w:pPr>
        <w:jc w:val="center"/>
        <w:pStyle w:val="Normal"/>
        <w:spacing w:line="240" w:lineRule="auto"/>
        <w:keepNext/>
      </w:pPr>
      <w:r>
        <w:rPr>
          <w:sz w:val="28"/>
          <w:rFonts w:ascii="Times New Roman" w:hAnsi="Times New Roman"/>
        </w:rPr>
        <w:t xml:space="preserve">Bilješka 39.</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3212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Naknade za prijevoz, za rad na terenu i odvojeni život</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3212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5.862,15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6.164,91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105,2</w:t>
            </w:r>
          </w:p>
        </w:tc>
      </w:tr>
    </w:tbl>
    <w:p>
      <w:pPr>
        <w:spacing w:before="0" w:after="0"/>
      </w:pPr>
    </w:p>
    <w:p>
      <w:r>
        <w:t xml:space="preserve">-općinai program Zaželi </w:t>
      </w:r>
    </w:p>
    <w:p/>
    <w:p>
      <w:pPr>
        <w:jc w:val="center"/>
        <w:pStyle w:val="Normal"/>
        <w:spacing w:line="240" w:lineRule="auto"/>
        <w:keepNext/>
      </w:pPr>
      <w:r>
        <w:rPr>
          <w:sz w:val="28"/>
          <w:rFonts w:ascii="Times New Roman" w:hAnsi="Times New Roman"/>
        </w:rPr>
        <w:t xml:space="preserve">Bilješka 40.</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3213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Stručno usavršavanje zaposlenika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3213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328,75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438,75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133,5</w:t>
            </w:r>
          </w:p>
        </w:tc>
      </w:tr>
    </w:tbl>
    <w:p>
      <w:pPr>
        <w:spacing w:before="0" w:after="0"/>
      </w:pPr>
    </w:p>
    <w:p>
      <w:r>
        <w:t xml:space="preserve">troškovi se odnose na stručno usavršavanje djelatnika općine</w:t>
      </w:r>
    </w:p>
    <w:p/>
    <w:p>
      <w:pPr>
        <w:jc w:val="center"/>
        <w:pStyle w:val="Normal"/>
        <w:spacing w:line="240" w:lineRule="auto"/>
        <w:keepNext/>
      </w:pPr>
      <w:r>
        <w:rPr>
          <w:sz w:val="28"/>
          <w:rFonts w:ascii="Times New Roman" w:hAnsi="Times New Roman"/>
        </w:rPr>
        <w:t xml:space="preserve">Bilješka 41.</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3214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Ostale naknade troškova zaposlenima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3214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415,50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673,00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162,0</w:t>
            </w:r>
          </w:p>
        </w:tc>
      </w:tr>
    </w:tbl>
    <w:p>
      <w:pPr>
        <w:spacing w:before="0" w:after="0"/>
      </w:pPr>
    </w:p>
    <w:p>
      <w:r>
        <w:t xml:space="preserve">Iznos se odnosi na naknadu za korištenje osobnog automobila u službene svrhe.</w:t>
      </w:r>
    </w:p>
    <w:p/>
    <w:p>
      <w:pPr>
        <w:jc w:val="center"/>
        <w:pStyle w:val="Normal"/>
        <w:spacing w:line="240" w:lineRule="auto"/>
        <w:keepNext/>
      </w:pPr>
      <w:r>
        <w:rPr>
          <w:sz w:val="28"/>
          <w:rFonts w:ascii="Times New Roman" w:hAnsi="Times New Roman"/>
        </w:rPr>
        <w:t xml:space="preserve">Bilješka 42.</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Rashodi za materijal i energiju (šifre 3221 do 3227)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36.885,08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41.308,24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112,0</w:t>
            </w:r>
          </w:p>
        </w:tc>
      </w:tr>
    </w:tbl>
    <w:p>
      <w:pPr>
        <w:spacing w:before="0" w:after="0"/>
      </w:pPr>
    </w:p>
    <w:p>
      <w:r>
        <w:t xml:space="preserve">Rashodi za materijal i energiju bilježe blagi rast 12%</w:t>
      </w:r>
    </w:p>
    <w:p/>
    <w:p>
      <w:pPr>
        <w:jc w:val="center"/>
        <w:pStyle w:val="Normal"/>
        <w:spacing w:line="240" w:lineRule="auto"/>
        <w:keepNext/>
      </w:pPr>
      <w:r>
        <w:rPr>
          <w:sz w:val="28"/>
          <w:rFonts w:ascii="Times New Roman" w:hAnsi="Times New Roman"/>
        </w:rPr>
        <w:t xml:space="preserve">Bilješka 43.</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3221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Uredski materijal i ostali materijalni rashodi</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3221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2.533,08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4.098,38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161,8</w:t>
            </w:r>
          </w:p>
        </w:tc>
      </w:tr>
    </w:tbl>
    <w:p>
      <w:pPr>
        <w:spacing w:before="0" w:after="0"/>
      </w:pPr>
    </w:p>
    <w:p>
      <w:r>
        <w:t xml:space="preserve">Ovi rashodi bilježe rast od 61,8% a najveće povečanje odnosi se radi povećanja cijena uredskog materijala i sredstava za higijenu i čišćenje</w:t>
      </w:r>
    </w:p>
    <w:p/>
    <w:p>
      <w:pPr>
        <w:jc w:val="center"/>
        <w:pStyle w:val="Normal"/>
        <w:spacing w:line="240" w:lineRule="auto"/>
        <w:keepNext/>
      </w:pPr>
      <w:r>
        <w:rPr>
          <w:sz w:val="28"/>
          <w:rFonts w:ascii="Times New Roman" w:hAnsi="Times New Roman"/>
        </w:rPr>
        <w:t xml:space="preserve">Bilješka 44.</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3223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Energija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3223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19.269,88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18.262,78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94,8</w:t>
            </w:r>
          </w:p>
        </w:tc>
      </w:tr>
    </w:tbl>
    <w:p>
      <w:pPr>
        <w:spacing w:before="0" w:after="0"/>
      </w:pPr>
    </w:p>
    <w:p>
      <w:r>
        <w:t xml:space="preserve">Ovi troškovi bilježe smanjenje u najvećem dijelu radi manjeg utroška el.energije - solarne ploče. </w:t>
      </w:r>
    </w:p>
    <w:p/>
    <w:p>
      <w:pPr>
        <w:jc w:val="center"/>
        <w:pStyle w:val="Normal"/>
        <w:spacing w:line="240" w:lineRule="auto"/>
        <w:keepNext/>
      </w:pPr>
      <w:r>
        <w:rPr>
          <w:sz w:val="28"/>
          <w:rFonts w:ascii="Times New Roman" w:hAnsi="Times New Roman"/>
        </w:rPr>
        <w:t xml:space="preserve">Bilješka 45.</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3224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Materijal i dijelovi za tekuće i investicijsko održavanje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3224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14.481,21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18.928,84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130,7</w:t>
            </w:r>
          </w:p>
        </w:tc>
      </w:tr>
    </w:tbl>
    <w:p>
      <w:pPr>
        <w:spacing w:before="0" w:after="0"/>
      </w:pPr>
    </w:p>
    <w:p>
      <w:r>
        <w:t xml:space="preserve">Ovi rashodi odnose se na : -održavanje građevinskih objekata  </w:t>
      </w:r>
    </w:p>
    <w:p/>
    <w:p>
      <w:pPr>
        <w:jc w:val="center"/>
        <w:pStyle w:val="Normal"/>
        <w:spacing w:line="240" w:lineRule="auto"/>
        <w:keepNext/>
      </w:pPr>
      <w:r>
        <w:rPr>
          <w:sz w:val="28"/>
          <w:rFonts w:ascii="Times New Roman" w:hAnsi="Times New Roman"/>
        </w:rPr>
        <w:t xml:space="preserve">Bilješka 46.</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Rashodi za usluge (šifre 3231 do 3239)</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156.958,73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371.863,34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236,9</w:t>
            </w:r>
          </w:p>
        </w:tc>
      </w:tr>
    </w:tbl>
    <w:p>
      <w:pPr>
        <w:spacing w:before="0" w:after="0"/>
      </w:pPr>
    </w:p>
    <w:p>
      <w:r>
        <w:t xml:space="preserve">Rashodi za usluge  veći su 136,9 % u odnosu na 2025 . Značajnije odstupanje u ovoj skupini rashoda je na usl.tekućeg i investicijskog održavanja i komunalnih usluga</w:t>
      </w:r>
    </w:p>
    <w:p>
      <w:r>
        <w:t xml:space="preserve"> </w:t>
      </w:r>
    </w:p>
    <w:p/>
    <w:p>
      <w:pPr>
        <w:jc w:val="center"/>
        <w:pStyle w:val="Normal"/>
        <w:spacing w:line="240" w:lineRule="auto"/>
        <w:keepNext/>
      </w:pPr>
      <w:r>
        <w:rPr>
          <w:sz w:val="28"/>
          <w:rFonts w:ascii="Times New Roman" w:hAnsi="Times New Roman"/>
        </w:rPr>
        <w:t xml:space="preserve">Bilješka 47.</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Usluge tekućeg i investicijskog održavanja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118.329,74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149.657,11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126,5</w:t>
            </w:r>
          </w:p>
        </w:tc>
      </w:tr>
    </w:tbl>
    <w:p>
      <w:pPr>
        <w:spacing w:before="0" w:after="0"/>
      </w:pPr>
    </w:p>
    <w:p>
      <w:r>
        <w:t xml:space="preserve">Ovi troškovi čine : *Usluge tekućeg i investicijskog održavanja građevinskih objekata u iznosu od 149.657,11 €  bilježe rast 26,5% a odnose se na : -domove i ostale građ.objekte u vl.OŠ, groblja , -javne površine   *Usluge tekućeg i investicijskog održavanja  postrojenja i opreme  *Usluge tekućeg i investicijskog održavanja prijevoznih sredstava  *Ostale usluge tekućeg i investicijskog održavanja   </w:t>
      </w:r>
    </w:p>
    <w:p/>
    <w:p>
      <w:pPr>
        <w:jc w:val="center"/>
        <w:pStyle w:val="Normal"/>
        <w:spacing w:line="240" w:lineRule="auto"/>
        <w:keepNext/>
      </w:pPr>
      <w:r>
        <w:rPr>
          <w:sz w:val="28"/>
          <w:rFonts w:ascii="Times New Roman" w:hAnsi="Times New Roman"/>
        </w:rPr>
        <w:t xml:space="preserve">Bilješka 48.</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Komunalne usluge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11.494,35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172.227,04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1498,4</w:t>
            </w:r>
          </w:p>
        </w:tc>
      </w:tr>
    </w:tbl>
    <w:p>
      <w:pPr>
        <w:spacing w:before="0" w:after="0"/>
      </w:pPr>
    </w:p>
    <w:p>
      <w:r>
        <w:t xml:space="preserve">Odstupanje ovih rashoda u odnosu na prethodnu godinu uglavnom se odnosi na  izvođenje radova na sanaciji klizišta</w:t>
      </w:r>
    </w:p>
    <w:p/>
    <w:p>
      <w:pPr>
        <w:jc w:val="center"/>
        <w:pStyle w:val="Normal"/>
        <w:spacing w:line="240" w:lineRule="auto"/>
        <w:keepNext/>
      </w:pPr>
      <w:r>
        <w:rPr>
          <w:sz w:val="28"/>
          <w:rFonts w:ascii="Times New Roman" w:hAnsi="Times New Roman"/>
        </w:rPr>
        <w:t xml:space="preserve">Bilješka 49.</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3236</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Zdravstvene i veterinarske usluge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1.709,65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3.972,72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232,4</w:t>
            </w:r>
          </w:p>
        </w:tc>
      </w:tr>
    </w:tbl>
    <w:p>
      <w:pPr>
        <w:spacing w:before="0" w:after="0"/>
      </w:pPr>
    </w:p>
    <w:p>
      <w:r>
        <w:t xml:space="preserve">troškovi se odnose na veterinarske usl. u dijelu zbrinjavanja pasa lutalica na području OŠ</w:t>
      </w:r>
    </w:p>
    <w:p/>
    <w:p>
      <w:pPr>
        <w:jc w:val="center"/>
        <w:pStyle w:val="Normal"/>
        <w:spacing w:line="240" w:lineRule="auto"/>
        <w:keepNext/>
      </w:pPr>
      <w:r>
        <w:rPr>
          <w:sz w:val="28"/>
          <w:rFonts w:ascii="Times New Roman" w:hAnsi="Times New Roman"/>
        </w:rPr>
        <w:t xml:space="preserve">Bilješka 50.</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Intelektualne i osobne usluge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5.369,58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20.908,75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389,4</w:t>
            </w:r>
          </w:p>
        </w:tc>
      </w:tr>
    </w:tbl>
    <w:p>
      <w:pPr>
        <w:spacing w:before="0" w:after="0"/>
      </w:pPr>
    </w:p>
    <w:p>
      <w:r>
        <w:t xml:space="preserve">Ove usluge bilježe rast od 289,4% a odnose se na Geodetsko-katastarske usluge, nadzore i procjene, projektiranja za potrebe OŠ, usluge E-ureda i programa zaštite od divljači.</w:t>
      </w:r>
    </w:p>
    <w:p/>
    <w:p>
      <w:pPr>
        <w:jc w:val="center"/>
        <w:pStyle w:val="Normal"/>
        <w:spacing w:line="240" w:lineRule="auto"/>
        <w:keepNext/>
      </w:pPr>
      <w:r>
        <w:rPr>
          <w:sz w:val="28"/>
          <w:rFonts w:ascii="Times New Roman" w:hAnsi="Times New Roman"/>
        </w:rPr>
        <w:t xml:space="preserve">Bilješka 51.</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3238</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Računalne usluge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2.286,24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5.276,54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230,8</w:t>
            </w:r>
          </w:p>
        </w:tc>
      </w:tr>
    </w:tbl>
    <w:p>
      <w:pPr>
        <w:spacing w:before="0" w:after="0"/>
      </w:pPr>
    </w:p>
    <w:p>
      <w:r>
        <w:t xml:space="preserve">Ovaj rashod  povećan je iz razloga nadogradnje info sustava i njegovog održavanja.</w:t>
      </w:r>
    </w:p>
    <w:p/>
    <w:p>
      <w:pPr>
        <w:jc w:val="center"/>
        <w:pStyle w:val="Normal"/>
        <w:spacing w:line="240" w:lineRule="auto"/>
        <w:keepNext/>
      </w:pPr>
      <w:r>
        <w:rPr>
          <w:sz w:val="28"/>
          <w:rFonts w:ascii="Times New Roman" w:hAnsi="Times New Roman"/>
        </w:rPr>
        <w:t xml:space="preserve">Bilješka 52.</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3239</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Ostale usluge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8.087,91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7.792,99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96,4</w:t>
            </w:r>
          </w:p>
        </w:tc>
      </w:tr>
    </w:tbl>
    <w:p>
      <w:pPr>
        <w:spacing w:before="0" w:after="0"/>
      </w:pPr>
    </w:p>
    <w:p>
      <w:r>
        <w:t xml:space="preserve">obuhvaća širok spektar različitih vanjskih usluga koje se koriste u redovnom poslovanju i bilježe blagi pad troškova od 3,6%</w:t>
      </w:r>
    </w:p>
    <w:p/>
    <w:p>
      <w:pPr>
        <w:jc w:val="center"/>
        <w:pStyle w:val="Normal"/>
        <w:spacing w:line="240" w:lineRule="auto"/>
        <w:keepNext/>
      </w:pPr>
      <w:r>
        <w:rPr>
          <w:sz w:val="28"/>
          <w:rFonts w:ascii="Times New Roman" w:hAnsi="Times New Roman"/>
        </w:rPr>
        <w:t xml:space="preserve">Bilješka 53.</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329</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Ostali nespomenuti rashodi poslovanja (šifre 3291 do 3299)</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47.365,28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37.614,57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79,4</w:t>
            </w:r>
          </w:p>
        </w:tc>
      </w:tr>
    </w:tbl>
    <w:p>
      <w:pPr>
        <w:spacing w:before="0" w:after="0"/>
      </w:pPr>
    </w:p>
    <w:p>
      <w:r>
        <w:t xml:space="preserve">Ostali nespomenuti rashodi poslovanja  obuhvaćaju materijalne troškove koji nisu klasificirani u specifične kategorije poput materijala, energije ili klasičnih usluga  i u odnosu na 2025 . manji su 20,60%.</w:t>
      </w:r>
    </w:p>
    <w:p/>
    <w:p>
      <w:pPr>
        <w:jc w:val="center"/>
        <w:pStyle w:val="Normal"/>
        <w:spacing w:line="240" w:lineRule="auto"/>
        <w:keepNext/>
      </w:pPr>
      <w:r>
        <w:rPr>
          <w:sz w:val="28"/>
          <w:rFonts w:ascii="Times New Roman" w:hAnsi="Times New Roman"/>
        </w:rPr>
        <w:t xml:space="preserve">Bilješka 54.</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3291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Naknade za rad predstavničkih i izvršnih tijela, povjerenstava i slično</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3291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17.244,76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1.959,28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11,4</w:t>
            </w:r>
          </w:p>
        </w:tc>
      </w:tr>
    </w:tbl>
    <w:p>
      <w:pPr>
        <w:spacing w:before="0" w:after="0"/>
      </w:pPr>
    </w:p>
    <w:p>
      <w:r>
        <w:t xml:space="preserve">naknade su ostvarene u odnosu na 2025 tek 11,4% i to iz razloga što je u 2025 g bio trošak izbora.</w:t>
      </w:r>
    </w:p>
    <w:p/>
    <w:p>
      <w:pPr>
        <w:jc w:val="center"/>
        <w:pStyle w:val="Normal"/>
        <w:spacing w:line="240" w:lineRule="auto"/>
        <w:keepNext/>
      </w:pPr>
      <w:r>
        <w:rPr>
          <w:sz w:val="28"/>
          <w:rFonts w:ascii="Times New Roman" w:hAnsi="Times New Roman"/>
        </w:rPr>
        <w:t xml:space="preserve">Bilješka 55.</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3292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Premije osiguranja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3292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2.739,83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4.250,37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155,1</w:t>
            </w:r>
          </w:p>
        </w:tc>
      </w:tr>
    </w:tbl>
    <w:p>
      <w:pPr>
        <w:spacing w:before="0" w:after="0"/>
      </w:pPr>
    </w:p>
    <w:p>
      <w:r>
        <w:t xml:space="preserve">U odnosu na 2025. police osiguranja za 2026 obuhvaćaju veći broj objekata.</w:t>
      </w:r>
    </w:p>
    <w:p/>
    <w:p>
      <w:pPr>
        <w:jc w:val="center"/>
        <w:pStyle w:val="Normal"/>
        <w:spacing w:line="240" w:lineRule="auto"/>
        <w:keepNext/>
      </w:pPr>
      <w:r>
        <w:rPr>
          <w:sz w:val="28"/>
          <w:rFonts w:ascii="Times New Roman" w:hAnsi="Times New Roman"/>
        </w:rPr>
        <w:t xml:space="preserve">Bilješka 56.</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3293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Reprezentacija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3293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19.499,28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21.463,09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110,1</w:t>
            </w:r>
          </w:p>
        </w:tc>
      </w:tr>
    </w:tbl>
    <w:p>
      <w:pPr>
        <w:spacing w:before="0" w:after="0"/>
      </w:pPr>
    </w:p>
    <w:p>
      <w:r>
        <w:t xml:space="preserve">bilježi blagi rast 10,1% u odnosu na 2025 jer ovo razdoblje ulazi dio troškova za Dan općine.</w:t>
      </w:r>
    </w:p>
    <w:p/>
    <w:p>
      <w:pPr>
        <w:jc w:val="center"/>
        <w:pStyle w:val="Normal"/>
        <w:spacing w:line="240" w:lineRule="auto"/>
        <w:keepNext/>
      </w:pPr>
      <w:r>
        <w:rPr>
          <w:sz w:val="28"/>
          <w:rFonts w:ascii="Times New Roman" w:hAnsi="Times New Roman"/>
        </w:rPr>
        <w:t xml:space="preserve">Bilješka 57.</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3299</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Ostali nespomenuti rashodi poslovanja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3299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2.153,50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8.099,89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376,1</w:t>
            </w:r>
          </w:p>
        </w:tc>
      </w:tr>
    </w:tbl>
    <w:p>
      <w:pPr>
        <w:spacing w:before="0" w:after="0"/>
      </w:pPr>
    </w:p>
    <w:p>
      <w:r>
        <w:t xml:space="preserve">Ostali nesp. rashodi čine svi drugi operativni opći troškovi poslovanja koji nisu zakonski definirani pod nekim drugim računom iz rač.plana. </w:t>
      </w:r>
    </w:p>
    <w:p>
      <w:r>
        <w:t xml:space="preserve">( naplata por.uprave (1% i 5%) te ostali nesp.rashodi )</w:t>
      </w:r>
    </w:p>
    <w:p/>
    <w:p>
      <w:pPr>
        <w:jc w:val="center"/>
        <w:pStyle w:val="Normal"/>
        <w:spacing w:line="240" w:lineRule="auto"/>
        <w:keepNext/>
      </w:pPr>
      <w:r>
        <w:rPr>
          <w:sz w:val="28"/>
          <w:rFonts w:ascii="Times New Roman" w:hAnsi="Times New Roman"/>
        </w:rPr>
        <w:t xml:space="preserve">Bilješka 58.</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Financijski rashodi (šifre 341+342+343)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1.222,37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1.839,40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150,5</w:t>
            </w:r>
          </w:p>
        </w:tc>
      </w:tr>
    </w:tbl>
    <w:p>
      <w:pPr>
        <w:spacing w:before="0" w:after="0"/>
      </w:pPr>
    </w:p>
    <w:p>
      <w:r>
        <w:t xml:space="preserve">Radi povećanog prometa žiro računa općine i troškovi platnog prometa su porasli.</w:t>
      </w:r>
    </w:p>
    <w:p/>
    <w:p>
      <w:pPr>
        <w:jc w:val="center"/>
        <w:pStyle w:val="Normal"/>
        <w:spacing w:line="240" w:lineRule="auto"/>
        <w:keepNext/>
      </w:pPr>
      <w:r>
        <w:rPr>
          <w:sz w:val="28"/>
          <w:rFonts w:ascii="Times New Roman" w:hAnsi="Times New Roman"/>
        </w:rPr>
        <w:t xml:space="preserve">Bilješka 59.</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343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Ostali financijski rashodi (šifre 3431 do 3434)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343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1.134,88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1.839,40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162,1</w:t>
            </w:r>
          </w:p>
        </w:tc>
      </w:tr>
    </w:tbl>
    <w:p>
      <w:pPr>
        <w:spacing w:before="0" w:after="0"/>
      </w:pPr>
    </w:p>
    <w:p>
      <w:r>
        <w:t xml:space="preserve">Radi povećanog prometa žiro računa općine i troškovi platnog prometa su porasli.</w:t>
      </w:r>
    </w:p>
    <w:p/>
    <w:p>
      <w:pPr>
        <w:jc w:val="center"/>
        <w:pStyle w:val="Normal"/>
        <w:spacing w:line="240" w:lineRule="auto"/>
        <w:keepNext/>
      </w:pPr>
      <w:r>
        <w:rPr>
          <w:sz w:val="28"/>
          <w:rFonts w:ascii="Times New Roman" w:hAnsi="Times New Roman"/>
        </w:rPr>
        <w:t xml:space="preserve">Bilješka 60.</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3431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Bankarske usluge i usluge platnog prometa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3431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1.134,88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1.839,40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162,1</w:t>
            </w:r>
          </w:p>
        </w:tc>
      </w:tr>
    </w:tbl>
    <w:p>
      <w:pPr>
        <w:spacing w:before="0" w:after="0"/>
      </w:pPr>
    </w:p>
    <w:p>
      <w:r>
        <w:t xml:space="preserve">Radi povećanog prometa žiro računa općine i troškovi platnog prometa su porasli.</w:t>
      </w:r>
    </w:p>
    <w:p/>
    <w:p>
      <w:pPr>
        <w:jc w:val="center"/>
        <w:pStyle w:val="Normal"/>
        <w:spacing w:line="240" w:lineRule="auto"/>
        <w:keepNext/>
      </w:pPr>
      <w:r>
        <w:rPr>
          <w:sz w:val="28"/>
          <w:rFonts w:ascii="Times New Roman" w:hAnsi="Times New Roman"/>
        </w:rPr>
        <w:t xml:space="preserve">Bilješka 61.</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36</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Pomoći dane u inozemstvo i unutar općeg proračuna (šifre 361+362+363+365+366+367+368+369)</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73.138,56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49.243,30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67,3</w:t>
            </w:r>
          </w:p>
        </w:tc>
      </w:tr>
    </w:tbl>
    <w:p>
      <w:pPr>
        <w:spacing w:before="0" w:after="0"/>
      </w:pPr>
    </w:p>
    <w:p>
      <w:r>
        <w:t xml:space="preserve">Pomoći dane u inozemstvo i unutar općeg proračuna  predstavljaju tekuće ili kapitalne prijenose sredstava koji se dodjeljuju drugim proračunskim subjektima ili međunarodnim organizacijama.   Iznos od 49.243,30€ odnose se na pomoći unutar općeg proračuna </w:t>
      </w:r>
    </w:p>
    <w:p/>
    <w:p>
      <w:pPr>
        <w:jc w:val="center"/>
        <w:pStyle w:val="Normal"/>
        <w:spacing w:line="240" w:lineRule="auto"/>
        <w:keepNext/>
      </w:pPr>
      <w:r>
        <w:rPr>
          <w:sz w:val="28"/>
          <w:rFonts w:ascii="Times New Roman" w:hAnsi="Times New Roman"/>
        </w:rPr>
        <w:t xml:space="preserve">Bilješka 62.</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363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Pomoći drugom proračunu i izvanproračunskim korisnicima (šifre 3631 do 3636)</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363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73.138,56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49.243,30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67,3</w:t>
            </w:r>
          </w:p>
        </w:tc>
      </w:tr>
    </w:tbl>
    <w:p>
      <w:pPr>
        <w:spacing w:before="0" w:after="0"/>
      </w:pPr>
    </w:p>
    <w:p>
      <w:r>
        <w:t xml:space="preserve">Pomoći dane u inozemstvo i unutar općeg proračuna  predstavljaju tekuće ili kapitalne prijenose sredstava koji se dodjeljuju drugim proračunskim subjektima ili međunarodnim organizacijama.   Iznos od 49.243,30€ odnose se na pomoći unutar općeg proračuna </w:t>
      </w:r>
    </w:p>
    <w:p/>
    <w:p>
      <w:pPr>
        <w:jc w:val="center"/>
        <w:pStyle w:val="Normal"/>
        <w:spacing w:line="240" w:lineRule="auto"/>
        <w:keepNext/>
      </w:pPr>
      <w:r>
        <w:rPr>
          <w:sz w:val="28"/>
          <w:rFonts w:ascii="Times New Roman" w:hAnsi="Times New Roman"/>
        </w:rPr>
        <w:t xml:space="preserve">Bilješka 63.</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3631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Tekuće pomoći drugom proračunu i izvanproračunskim korisnicima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3631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73.138,56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49.243,30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67,3</w:t>
            </w:r>
          </w:p>
        </w:tc>
      </w:tr>
    </w:tbl>
    <w:p>
      <w:pPr>
        <w:spacing w:before="0" w:after="0"/>
      </w:pPr>
    </w:p>
    <w:p>
      <w:r>
        <w:t xml:space="preserve">Pomoći dane u inozemstvo i unutar općeg proračuna  predstavljaju tekuće ili kapitalne prijenose sredstava koji se dodjeljuju drugim proračunskim subjektima ili međunarodnim organizacijama.   Iznos od 49.243,30€ odnose se na pomoći unutar općeg proračuna </w:t>
      </w:r>
    </w:p>
    <w:p/>
    <w:p>
      <w:pPr>
        <w:jc w:val="center"/>
        <w:pStyle w:val="Normal"/>
        <w:spacing w:line="240" w:lineRule="auto"/>
        <w:keepNext/>
      </w:pPr>
      <w:r>
        <w:rPr>
          <w:sz w:val="28"/>
          <w:rFonts w:ascii="Times New Roman" w:hAnsi="Times New Roman"/>
        </w:rPr>
        <w:t xml:space="preserve">Bilješka 64.</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Naknade građanima i kućanstvima na temelju osiguranja i druge naknade (šifre 371+372)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14.639,80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21.347,63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145,8</w:t>
            </w:r>
          </w:p>
        </w:tc>
      </w:tr>
    </w:tbl>
    <w:p>
      <w:pPr>
        <w:spacing w:before="0" w:after="0"/>
      </w:pPr>
    </w:p>
    <w:p>
      <w:r>
        <w:t xml:space="preserve">Ovi rashodi  obuhvaćaju : -prijenosi proračunskim korisnicima iz općinskog proračuna za financiranje redovne djelatnosti odnose se na prijenose Domu za starije i nemoćne osobe Šandrovac i Dječjeg vrtića Šandrovac. U procesu izrade konsolidiranog financijskog izvještaja navedeni prijenosi /rashodi se sučeljavaju i eliminiraju.  prijenose proračunskim korisnicima ostvarene su  45,8% više u odnosu na 2025.</w:t>
      </w:r>
    </w:p>
    <w:p/>
    <w:p>
      <w:pPr>
        <w:jc w:val="center"/>
        <w:pStyle w:val="Normal"/>
        <w:spacing w:line="240" w:lineRule="auto"/>
        <w:keepNext/>
      </w:pPr>
      <w:r>
        <w:rPr>
          <w:sz w:val="28"/>
          <w:rFonts w:ascii="Times New Roman" w:hAnsi="Times New Roman"/>
        </w:rPr>
        <w:t xml:space="preserve">Bilješka 65.</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372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Ostale naknade građanima i kućanstvima iz proračuna (šifre 3721 do 3723)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372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14.639,80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21.347,63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145,8</w:t>
            </w:r>
          </w:p>
        </w:tc>
      </w:tr>
    </w:tbl>
    <w:p>
      <w:pPr>
        <w:spacing w:before="0" w:after="0"/>
      </w:pPr>
    </w:p>
    <w:p>
      <w:r>
        <w:t xml:space="preserve">Ovi rashodi  obuhvaćaju : -prijenosi proračunskim korisnicima iz općinskog proračuna za financiranje redovne djelatnosti odnose se na prijenose Domu za starije i nemoćne osobe Šandrovac i Dječjeg vrtića Šandrovac. U procesu izrade konsolidiranog financijskog izvještaja navedeni prijenosi /rashodi se sučeljavaju i eliminiraju.  prijenose proračunskim korisnicima ostvarene su  45,8% više u odnosu na 2025.</w:t>
      </w:r>
    </w:p>
    <w:p/>
    <w:p>
      <w:pPr>
        <w:jc w:val="center"/>
        <w:pStyle w:val="Normal"/>
        <w:spacing w:line="240" w:lineRule="auto"/>
        <w:keepNext/>
      </w:pPr>
      <w:r>
        <w:rPr>
          <w:sz w:val="28"/>
          <w:rFonts w:ascii="Times New Roman" w:hAnsi="Times New Roman"/>
        </w:rPr>
        <w:t xml:space="preserve">Bilješka 66.</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3721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Naknade građanima i kućanstvima u novcu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3721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12.100,00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15.904,18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131,4</w:t>
            </w:r>
          </w:p>
        </w:tc>
      </w:tr>
    </w:tbl>
    <w:p>
      <w:pPr>
        <w:spacing w:before="0" w:after="0"/>
      </w:pPr>
    </w:p>
    <w:p>
      <w:r>
        <w:t xml:space="preserve">Naknade  građanima i kućanstvima mogu  se isplaćivati u novcu , općenito za njihove potrebe ili u naravi. Ovi rashodi sadrže: -ostale naknade građanima i kućanstvima iz proračuna  koji se odnose na  pomoći obiteljima i kućanstvima socijalno ugroženima, stipendije studentima , potpore za novorođeno dijete,   božićnice i uskrsnice za umirovljenike, financiranje prijevoza i smještaja srednjoškolaca . U odnosu na 2025 naknade bilježe rast 31,4%</w:t>
      </w:r>
    </w:p>
    <w:p/>
    <w:p>
      <w:pPr>
        <w:jc w:val="center"/>
        <w:pStyle w:val="Normal"/>
        <w:spacing w:line="240" w:lineRule="auto"/>
        <w:keepNext/>
      </w:pPr>
      <w:r>
        <w:rPr>
          <w:sz w:val="28"/>
          <w:rFonts w:ascii="Times New Roman" w:hAnsi="Times New Roman"/>
        </w:rPr>
        <w:t xml:space="preserve">Bilješka 67.</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3722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Naknade građanima i kućanstvima u naravi</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3722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2.539,80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5.443,45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214,3</w:t>
            </w:r>
          </w:p>
        </w:tc>
      </w:tr>
    </w:tbl>
    <w:p>
      <w:pPr>
        <w:spacing w:before="0" w:after="0"/>
      </w:pPr>
    </w:p>
    <w:p>
      <w:r>
        <w:t xml:space="preserve">Troškovi bilježe  rast 114,3 % u odnosu na 2025g. a odnose se na sufinanciranje prijevoza , smještaja i prehrane srednjoškolaca te sufinanciranje linijskog prijevoza za fizičke osobe. Povećanje se u najvećem dijelu odnosi na prijevoz.</w:t>
      </w:r>
    </w:p>
    <w:p>
      <w:r>
        <w:t xml:space="preserve"> </w:t>
      </w:r>
    </w:p>
    <w:p/>
    <w:p>
      <w:pPr>
        <w:jc w:val="center"/>
        <w:pStyle w:val="Normal"/>
        <w:spacing w:line="240" w:lineRule="auto"/>
        <w:keepNext/>
      </w:pPr>
      <w:r>
        <w:rPr>
          <w:sz w:val="28"/>
          <w:rFonts w:ascii="Times New Roman" w:hAnsi="Times New Roman"/>
        </w:rPr>
        <w:t xml:space="preserve">Bilješka 68.</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38</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Rashodi za donacije, kazne, naknade šteta i kapitalne pomoći (šifre 381+382+383+386)</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61.659,56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68.163,50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110,5</w:t>
            </w:r>
          </w:p>
        </w:tc>
      </w:tr>
    </w:tbl>
    <w:p>
      <w:pPr>
        <w:spacing w:before="0" w:after="0"/>
      </w:pPr>
    </w:p>
    <w:p>
      <w:r>
        <w:t xml:space="preserve">Tekuće donacije odnose se na  sredstava dodijeljenih raznim udrugama, sportskim klubovima, socijalno-humanitarnim organizacijama i slično, radi usklađivanja planiranih troškova sa stvarnim potrebama.  U odnosu na 2025 bilježe blagi rast 10,5%</w:t>
      </w:r>
    </w:p>
    <w:p/>
    <w:p>
      <w:pPr>
        <w:jc w:val="center"/>
        <w:pStyle w:val="Normal"/>
        <w:spacing w:line="240" w:lineRule="auto"/>
        <w:keepNext/>
      </w:pPr>
      <w:r>
        <w:rPr>
          <w:sz w:val="28"/>
          <w:rFonts w:ascii="Times New Roman" w:hAnsi="Times New Roman"/>
        </w:rPr>
        <w:t xml:space="preserve">Bilješka 69.</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381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Tekuće donacije (šifre 3811 do 3813)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381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60.693,56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68.163,50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112,3</w:t>
            </w:r>
          </w:p>
        </w:tc>
      </w:tr>
    </w:tbl>
    <w:p>
      <w:pPr>
        <w:spacing w:before="0" w:after="0"/>
      </w:pPr>
    </w:p>
    <w:p>
      <w:r>
        <w:t xml:space="preserve">Tekuće donacije odnose se na  sredstava dodijeljenih raznim udrugama, sportskim klubovima, socijalno-humanitarnim organizacijama i slično, radi usklađivanja planiranih troškova sa stvarnim potrebama.  U odnosu na 2025 bilježe blagi rast 12,3%</w:t>
      </w:r>
    </w:p>
    <w:p>
      <w:r>
        <w:t xml:space="preserve"> </w:t>
      </w:r>
    </w:p>
    <w:p/>
    <w:p>
      <w:pPr>
        <w:jc w:val="center"/>
        <w:pStyle w:val="Normal"/>
        <w:spacing w:line="240" w:lineRule="auto"/>
        <w:keepNext/>
      </w:pPr>
      <w:r>
        <w:rPr>
          <w:sz w:val="28"/>
          <w:rFonts w:ascii="Times New Roman" w:hAnsi="Times New Roman"/>
        </w:rPr>
        <w:t xml:space="preserve">Bilješka 70.</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3811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Tekuće donacije u novcu</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3811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60.693,56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68.163,50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112,3</w:t>
            </w:r>
          </w:p>
        </w:tc>
      </w:tr>
    </w:tbl>
    <w:p>
      <w:pPr>
        <w:spacing w:before="0" w:after="0"/>
      </w:pPr>
    </w:p>
    <w:p>
      <w:r>
        <w:t xml:space="preserve">Tekuće donacije odnose se na  sredstava dodijeljenih raznim udrugama, sportskim klubovima, socijalno-humanitarnim organizacijama i slično, radi usklađivanja planiranih troškova sa stvarnim potrebama.  U odnosu na 2025 bilježe blagi rast 12,3%</w:t>
      </w:r>
    </w:p>
    <w:p>
      <w:r>
        <w:t xml:space="preserve"> </w:t>
      </w:r>
    </w:p>
    <w:p/>
    <w:p>
      <w:pPr>
        <w:jc w:val="center"/>
        <w:pStyle w:val="Normal"/>
        <w:spacing w:line="240" w:lineRule="auto"/>
        <w:keepNext/>
      </w:pPr>
      <w:r>
        <w:rPr>
          <w:sz w:val="28"/>
          <w:rFonts w:ascii="Times New Roman" w:hAnsi="Times New Roman"/>
        </w:rPr>
        <w:t xml:space="preserve">Bilješka 71.</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Ukupni rashodi poslovanja (šifre 3-Z003+Z004)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Z005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538.581,37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758.317,50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140,8</w:t>
            </w:r>
          </w:p>
        </w:tc>
      </w:tr>
    </w:tbl>
    <w:p>
      <w:pPr>
        <w:spacing w:before="0" w:after="0"/>
      </w:pPr>
    </w:p>
    <w:p>
      <w:r>
        <w:t xml:space="preserve">Ukupni rashodi poslovanja u procesu konsolidacije u odnosu na 2025. bilježe rast troškova od 40,8%</w:t>
      </w:r>
    </w:p>
    <w:p/>
    <w:p>
      <w:pPr>
        <w:jc w:val="center"/>
        <w:pStyle w:val="Normal"/>
        <w:spacing w:line="240" w:lineRule="auto"/>
        <w:keepNext/>
      </w:pPr>
      <w:r>
        <w:rPr>
          <w:sz w:val="28"/>
          <w:rFonts w:ascii="Times New Roman" w:hAnsi="Times New Roman"/>
        </w:rPr>
        <w:t xml:space="preserve">Bilješka 72.</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VIŠAK PRIHODA POSLOVANJA (šifre 6-Z005)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X001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1.445.803,71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80.544,67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5,6</w:t>
            </w:r>
          </w:p>
        </w:tc>
      </w:tr>
    </w:tbl>
    <w:p>
      <w:pPr>
        <w:spacing w:before="0" w:after="0"/>
      </w:pPr>
    </w:p>
    <w:p>
      <w:r>
        <w:t xml:space="preserve">Višak prihoda poslovanja ostvaren je 5,6 % u odnosu na 2025.</w:t>
      </w:r>
    </w:p>
    <w:p/>
    <w:p>
      <w:pPr>
        <w:jc w:val="center"/>
        <w:pStyle w:val="Normal"/>
        <w:spacing w:line="240" w:lineRule="auto"/>
        <w:keepNext/>
      </w:pPr>
      <w:r>
        <w:rPr>
          <w:sz w:val="28"/>
          <w:rFonts w:ascii="Times New Roman" w:hAnsi="Times New Roman"/>
        </w:rPr>
        <w:t xml:space="preserve">Bilješka 73.</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92211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Višak prihoda poslovanja - preneseni</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92211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70.763,09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1.251.417,86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1768,5</w:t>
            </w:r>
          </w:p>
        </w:tc>
      </w:tr>
    </w:tbl>
    <w:p>
      <w:pPr>
        <w:spacing w:before="0" w:after="0"/>
      </w:pPr>
    </w:p>
    <w:p>
      <w:r>
        <w:t xml:space="preserve">Višak prihoda poslovanja - preneseni čine u velikom dijelu sredstva ostvarena u 2025 za sanaciju klizišta</w:t>
      </w:r>
    </w:p>
    <w:p/>
    <w:p>
      <w:pPr>
        <w:jc w:val="center"/>
        <w:pStyle w:val="Normal"/>
        <w:spacing w:line="240" w:lineRule="auto"/>
        <w:keepNext/>
      </w:pPr>
      <w:r>
        <w:rPr>
          <w:sz w:val="28"/>
          <w:rFonts w:ascii="Times New Roman" w:hAnsi="Times New Roman"/>
        </w:rPr>
        <w:t xml:space="preserve">Bilješka 74.</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96</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Obračunati prihodi poslovanja - nenaplaćeni</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96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551.808,56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292.919,50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53,1</w:t>
            </w:r>
          </w:p>
        </w:tc>
      </w:tr>
    </w:tbl>
    <w:p>
      <w:pPr>
        <w:spacing w:before="0" w:after="0"/>
      </w:pPr>
    </w:p>
    <w:p>
      <w:r>
        <w:t xml:space="preserve">odnose se na nenaplaćena potraživanja </w:t>
      </w:r>
    </w:p>
    <w:p/>
    <w:p>
      <w:pPr>
        <w:jc w:val="center"/>
        <w:pStyle w:val="Normal"/>
        <w:spacing w:line="240" w:lineRule="auto"/>
        <w:keepNext/>
      </w:pPr>
      <w:r>
        <w:rPr>
          <w:sz w:val="28"/>
          <w:rFonts w:ascii="Times New Roman" w:hAnsi="Times New Roman"/>
        </w:rPr>
        <w:t xml:space="preserve">Bilješka 75.</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Prihodi od prodaje nefinancijske imovine (šifre 71+72+73+74)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85,78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59,50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69,4</w:t>
            </w:r>
          </w:p>
        </w:tc>
      </w:tr>
    </w:tbl>
    <w:p>
      <w:pPr>
        <w:spacing w:before="0" w:after="0"/>
      </w:pPr>
    </w:p>
    <w:p>
      <w:r>
        <w:t xml:space="preserve">Prihodi od prodaje nefinancijske imovine čine posebnu kategoriju prihoda (razred 7) koja se razlikuje od redovnih prihoda poslovanja. U odnosu na prošlo razdoblje ostvareni su 69,4% </w:t>
      </w:r>
    </w:p>
    <w:p/>
    <w:p>
      <w:pPr>
        <w:jc w:val="center"/>
        <w:pStyle w:val="Normal"/>
        <w:spacing w:line="240" w:lineRule="auto"/>
        <w:keepNext/>
      </w:pPr>
      <w:r>
        <w:rPr>
          <w:sz w:val="28"/>
          <w:rFonts w:ascii="Times New Roman" w:hAnsi="Times New Roman"/>
        </w:rPr>
        <w:t xml:space="preserve">Bilješka 76.</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72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Prihodi od prodaje proizvedene dugotrajne imovine (šifre 721+722+723+724+725+726)</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72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85,78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59,50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69,4</w:t>
            </w:r>
          </w:p>
        </w:tc>
      </w:tr>
    </w:tbl>
    <w:p>
      <w:pPr>
        <w:spacing w:before="0" w:after="0"/>
      </w:pPr>
    </w:p>
    <w:p>
      <w:r>
        <w:t xml:space="preserve">Prihodi od prodaje nefinancijske imovine čine posebnu kategoriju prihoda (razred 7) koja se razlikuje od redovnih prihoda poslovanja. U odnosu na prošlo razdoblje ostvareni su 69,4% </w:t>
      </w:r>
    </w:p>
    <w:p/>
    <w:p>
      <w:pPr>
        <w:jc w:val="center"/>
        <w:pStyle w:val="Normal"/>
        <w:spacing w:line="240" w:lineRule="auto"/>
        <w:keepNext/>
      </w:pPr>
      <w:r>
        <w:rPr>
          <w:sz w:val="28"/>
          <w:rFonts w:ascii="Times New Roman" w:hAnsi="Times New Roman"/>
        </w:rPr>
        <w:t xml:space="preserve">Bilješka 77.</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721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Prihodi od prodaje građevinskih objekata (šifre 7211 do 7214)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721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85,78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59,50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69,4</w:t>
            </w:r>
          </w:p>
        </w:tc>
      </w:tr>
    </w:tbl>
    <w:p>
      <w:pPr>
        <w:spacing w:before="0" w:after="0"/>
      </w:pPr>
    </w:p>
    <w:p>
      <w:r>
        <w:t xml:space="preserve">Prihodi od prodaje nefinancijske imovine čine posebnu kategoriju prihoda (razred 7) koja se razlikuje od redovnih prihoda poslovanja. U odnosu na prošlo razdoblje ostvareni su 69,4% </w:t>
      </w:r>
    </w:p>
    <w:p/>
    <w:p>
      <w:pPr>
        <w:jc w:val="center"/>
        <w:pStyle w:val="Normal"/>
        <w:spacing w:line="240" w:lineRule="auto"/>
        <w:keepNext/>
      </w:pPr>
      <w:r>
        <w:rPr>
          <w:sz w:val="28"/>
          <w:rFonts w:ascii="Times New Roman" w:hAnsi="Times New Roman"/>
        </w:rPr>
        <w:t xml:space="preserve">Bilješka 78.</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7211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Stambeni objekti</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7211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85,78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59,50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69,4</w:t>
            </w:r>
          </w:p>
        </w:tc>
      </w:tr>
    </w:tbl>
    <w:p>
      <w:pPr>
        <w:spacing w:before="0" w:after="0"/>
      </w:pPr>
    </w:p>
    <w:p>
      <w:r>
        <w:t xml:space="preserve">Prihodi od prodaje nefinancijske imovine čine posebnu kategoriju prihoda (razred 7) koja se razlikuje od redovnih prihoda poslovanja. U odnosu na prošlo razdoblje ostvareni su 69,4% </w:t>
      </w:r>
    </w:p>
    <w:p/>
    <w:p>
      <w:pPr>
        <w:jc w:val="center"/>
        <w:pStyle w:val="Normal"/>
        <w:spacing w:line="240" w:lineRule="auto"/>
        <w:keepNext/>
      </w:pPr>
      <w:r>
        <w:rPr>
          <w:sz w:val="28"/>
          <w:rFonts w:ascii="Times New Roman" w:hAnsi="Times New Roman"/>
        </w:rPr>
        <w:t xml:space="preserve">Bilješka 79.</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Rashodi za nabavu nefinancijske imovine (šifre 41+42+43+44+45)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65.453,60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47.681,64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72,8</w:t>
            </w:r>
          </w:p>
        </w:tc>
      </w:tr>
    </w:tbl>
    <w:p>
      <w:pPr>
        <w:spacing w:before="0" w:after="0"/>
      </w:pPr>
    </w:p>
    <w:p>
      <w:r>
        <w:t xml:space="preserve">Rashodi za nabavu nefinancijske imovine predstavljaju investicijska ulaganja i izravno su povezani s prihodima od prodaje nefinacijske imovine  jer se često financiraju upravo prodajom imovine ili namjenskim kreditima.</w:t>
      </w:r>
    </w:p>
    <w:p>
      <w:r>
        <w:t xml:space="preserve">Ostvareni su 27,20% manje od prošlog izvještajnog razdoblja.</w:t>
      </w:r>
    </w:p>
    <w:p/>
    <w:p>
      <w:pPr>
        <w:jc w:val="center"/>
        <w:pStyle w:val="Normal"/>
        <w:spacing w:line="240" w:lineRule="auto"/>
        <w:keepNext/>
      </w:pPr>
      <w:r>
        <w:rPr>
          <w:sz w:val="28"/>
          <w:rFonts w:ascii="Times New Roman" w:hAnsi="Times New Roman"/>
        </w:rPr>
        <w:t xml:space="preserve">Bilješka 80.</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Rashodi za nabavu proizvedene dugotrajne imovine (šifre 421+422+423+424+425+426)</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65.453,60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47.681,64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72,8</w:t>
            </w:r>
          </w:p>
        </w:tc>
      </w:tr>
    </w:tbl>
    <w:p>
      <w:pPr>
        <w:spacing w:before="0" w:after="0"/>
      </w:pPr>
    </w:p>
    <w:p>
      <w:r>
        <w:t xml:space="preserve">U okviru ove skupine evidentiraju se nabava građevinskih objekata, postrojenja i opreme, prijevoznih sredstava, knjige , umjetnička djela i ostale izložbene vrijednosti, višegodišnji nasadi, i nematerijalna proizvedena imovina -građevinski objekti obuhvaćaju rekonstrukciju Vidikovca  i asfaltiranje nerazvrstanih cesta ,izvođenje radova na sustavu odvodnje i kanalizacije (projekti). -postrojenja i oprema obuhvaća nabavku uredskog namještaja , računalne, komunikacijske  opreme te opreme za ostale namjene.</w:t>
      </w:r>
    </w:p>
    <w:p>
      <w:r>
        <w:t xml:space="preserve">Rashodi za nabavu nefinancijske imovine predstavljaju investicijska ulaganja i izravno su povezani s prihodima od prodaje nefinacijske imovine  jer se često financiraju upravo prodajom imovine ili namjenskim kreditima.</w:t>
      </w:r>
    </w:p>
    <w:p>
      <w:r>
        <w:t xml:space="preserve">Ostvareni su 27,20% manje od prošlog izvještajnog razdoblja.</w:t>
      </w:r>
    </w:p>
    <w:p/>
    <w:p>
      <w:pPr>
        <w:jc w:val="center"/>
        <w:pStyle w:val="Normal"/>
        <w:spacing w:line="240" w:lineRule="auto"/>
        <w:keepNext/>
      </w:pPr>
      <w:r>
        <w:rPr>
          <w:sz w:val="28"/>
          <w:rFonts w:ascii="Times New Roman" w:hAnsi="Times New Roman"/>
        </w:rPr>
        <w:t xml:space="preserve">Bilješka 81.</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421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Građevinski objekti (šifre 4211 do 4214)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421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48.791,32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4.250,00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8,7</w:t>
            </w:r>
          </w:p>
        </w:tc>
      </w:tr>
    </w:tbl>
    <w:p>
      <w:pPr>
        <w:spacing w:before="0" w:after="0"/>
      </w:pPr>
    </w:p>
    <w:p>
      <w:r>
        <w:t xml:space="preserve">Ova podskupina dio je skupine 42 (Rashodi za nabavu proizvedene dugotrajne imovine) i razreda 4 (Rashodi za nabavu nefinancijske imovine) prema službenom Računskom planu. Na njoj se bilježe svi kapitalni izdaci za kupnju, izgradnju ili značajnu rekonstrukciju (investicijsko održavanje koje povećava vrijednost) građevinskih objekata.</w:t>
      </w:r>
    </w:p>
    <w:p/>
    <w:p>
      <w:pPr>
        <w:jc w:val="center"/>
        <w:pStyle w:val="Normal"/>
        <w:spacing w:line="240" w:lineRule="auto"/>
        <w:keepNext/>
      </w:pPr>
      <w:r>
        <w:rPr>
          <w:sz w:val="28"/>
          <w:rFonts w:ascii="Times New Roman" w:hAnsi="Times New Roman"/>
        </w:rPr>
        <w:t xml:space="preserve">Bilješka 82.</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4213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Ceste, željeznice i ostali prometni objekti</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4213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47.343,75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4.250,00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9,0</w:t>
            </w:r>
          </w:p>
        </w:tc>
      </w:tr>
    </w:tbl>
    <w:p>
      <w:pPr>
        <w:spacing w:before="0" w:after="0"/>
      </w:pPr>
    </w:p>
    <w:p>
      <w:r>
        <w:t xml:space="preserve">Ova podskupina dio je skupine 42 (Rashodi za nabavu proizvedene dugotrajne imovine) i razreda 4 (Rashodi za nabavu nefinancijske imovine) prema službenom Računskom planu. Na njoj se bilježe svi kapitalni izdaci za kupnju, izgradnju ili značajnu rekonstrukciju (investicijsko održavanje koje povećava vrijednost) građevinskih objekata.  Konkretno rashod se odnosi na projektnu dokumentaciju za NC.</w:t>
      </w:r>
    </w:p>
    <w:p/>
    <w:p>
      <w:pPr>
        <w:jc w:val="center"/>
        <w:pStyle w:val="Normal"/>
        <w:spacing w:line="240" w:lineRule="auto"/>
        <w:keepNext/>
      </w:pPr>
      <w:r>
        <w:rPr>
          <w:sz w:val="28"/>
          <w:rFonts w:ascii="Times New Roman" w:hAnsi="Times New Roman"/>
        </w:rPr>
        <w:t xml:space="preserve">Bilješka 83.</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422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Postrojenja i oprema (šifre 4221 do 4228)</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422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16.662,28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28.631,64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171,8</w:t>
            </w:r>
          </w:p>
        </w:tc>
      </w:tr>
    </w:tbl>
    <w:p>
      <w:pPr>
        <w:spacing w:before="0" w:after="0"/>
      </w:pPr>
    </w:p>
    <w:p>
      <w:r>
        <w:t xml:space="preserve">Ova se skupina koristi za evidentiranje kupnje, proizvodnje ili nabave opreme i uređaja koji imaju vijek trajanja duži od jedne godine i zadržavaju svoj uobičajeni oblik u radu. U odnosu na 2025 povećani su troškovi za 71,8%</w:t>
      </w:r>
    </w:p>
    <w:p/>
    <w:p>
      <w:pPr>
        <w:jc w:val="center"/>
        <w:pStyle w:val="Normal"/>
        <w:spacing w:line="240" w:lineRule="auto"/>
        <w:keepNext/>
      </w:pPr>
      <w:r>
        <w:rPr>
          <w:sz w:val="28"/>
          <w:rFonts w:ascii="Times New Roman" w:hAnsi="Times New Roman"/>
        </w:rPr>
        <w:t xml:space="preserve">Bilješka 84.</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4221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Uredska oprema i namještaj</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4221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928,73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2.239,88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241,2</w:t>
            </w:r>
          </w:p>
        </w:tc>
      </w:tr>
    </w:tbl>
    <w:p>
      <w:pPr>
        <w:spacing w:before="0" w:after="0"/>
      </w:pPr>
    </w:p>
    <w:p>
      <w:r>
        <w:t xml:space="preserve">Uredska oprema i namještaj nabavljeni su u iznosu od 2.239,88 € - računala</w:t>
      </w:r>
    </w:p>
    <w:p/>
    <w:p>
      <w:pPr>
        <w:jc w:val="center"/>
        <w:pStyle w:val="Normal"/>
        <w:spacing w:line="240" w:lineRule="auto"/>
        <w:keepNext/>
      </w:pPr>
      <w:r>
        <w:rPr>
          <w:sz w:val="28"/>
          <w:rFonts w:ascii="Times New Roman" w:hAnsi="Times New Roman"/>
        </w:rPr>
        <w:t xml:space="preserve">Bilješka 85.</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4226</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Sportska i glazbena oprema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4226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2.125,00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19.912,50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937,1</w:t>
            </w:r>
          </w:p>
        </w:tc>
      </w:tr>
    </w:tbl>
    <w:p>
      <w:pPr>
        <w:spacing w:before="0" w:after="0"/>
      </w:pPr>
    </w:p>
    <w:p>
      <w:r>
        <w:t xml:space="preserve">Troškovi se odnose na opremanje dječijih igrališta na području OŠ.</w:t>
      </w:r>
    </w:p>
    <w:p/>
    <w:p>
      <w:pPr>
        <w:jc w:val="center"/>
        <w:pStyle w:val="Normal"/>
        <w:spacing w:line="240" w:lineRule="auto"/>
        <w:keepNext/>
      </w:pPr>
      <w:r>
        <w:rPr>
          <w:sz w:val="28"/>
          <w:rFonts w:ascii="Times New Roman" w:hAnsi="Times New Roman"/>
        </w:rPr>
        <w:t xml:space="preserve">Bilješka 86.</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4227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Uređaji, strojevi i oprema za ostale namjene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4227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13.608,55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6.479,26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47,6</w:t>
            </w:r>
          </w:p>
        </w:tc>
      </w:tr>
    </w:tbl>
    <w:p>
      <w:pPr>
        <w:spacing w:before="0" w:after="0"/>
      </w:pPr>
    </w:p>
    <w:p>
      <w:r>
        <w:t xml:space="preserve">Trošak je ostvaren 52,40% manje u odnosu na 2025.  Odnosi se na nabavku  bijele tehnike  za potrebe OŠ, oprema kuhinja za društvene domove </w:t>
      </w:r>
    </w:p>
    <w:p/>
    <w:p>
      <w:pPr>
        <w:jc w:val="center"/>
        <w:pStyle w:val="Normal"/>
        <w:spacing w:line="240" w:lineRule="auto"/>
        <w:keepNext/>
      </w:pPr>
      <w:r>
        <w:rPr>
          <w:sz w:val="28"/>
          <w:rFonts w:ascii="Times New Roman" w:hAnsi="Times New Roman"/>
        </w:rPr>
        <w:t xml:space="preserve">Bilješka 87.</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423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Prijevozna sredstva (šifre 4231 do 4234)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423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14.800,00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r>
        <w:t xml:space="preserve">odnosi se na kupnju vozila za potrebe komunalnog redara </w:t>
      </w:r>
    </w:p>
    <w:p/>
    <w:p>
      <w:pPr>
        <w:jc w:val="center"/>
        <w:pStyle w:val="Normal"/>
        <w:spacing w:line="240" w:lineRule="auto"/>
        <w:keepNext/>
      </w:pPr>
      <w:r>
        <w:rPr>
          <w:sz w:val="28"/>
          <w:rFonts w:ascii="Times New Roman" w:hAnsi="Times New Roman"/>
        </w:rPr>
        <w:t xml:space="preserve">Bilješka 88.</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4231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Prijevozna sredstva u cestovnom prometu</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4231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14.800,00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r>
        <w:t xml:space="preserve">odnosi se na kupnju vozila za potrebe komunalnog redara </w:t>
      </w:r>
    </w:p>
    <w:p/>
    <w:p>
      <w:pPr>
        <w:jc w:val="center"/>
        <w:pStyle w:val="Normal"/>
        <w:spacing w:line="240" w:lineRule="auto"/>
        <w:keepNext/>
      </w:pPr>
      <w:r>
        <w:rPr>
          <w:sz w:val="28"/>
          <w:rFonts w:ascii="Times New Roman" w:hAnsi="Times New Roman"/>
        </w:rPr>
        <w:t xml:space="preserve">Bilješka 89.</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MANJAK PRIHODA OD NEFINANCIJSKE IMOVINE (šifre 4-7)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Y002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65.367,82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47.622,14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72,9</w:t>
            </w:r>
          </w:p>
        </w:tc>
      </w:tr>
    </w:tbl>
    <w:p>
      <w:pPr>
        <w:spacing w:before="0" w:after="0"/>
      </w:pPr>
    </w:p>
    <w:p>
      <w:r>
        <w:t xml:space="preserve">Rashodi za nabavu nef.imovine veći su od prihoda prodaje nef.imovine tako ta je manjak prihoda od nefinancijske imovine 47.622,14€</w:t>
      </w:r>
    </w:p>
    <w:p/>
    <w:p>
      <w:pPr>
        <w:jc w:val="center"/>
        <w:pStyle w:val="Normal"/>
        <w:spacing w:line="240" w:lineRule="auto"/>
        <w:keepNext/>
      </w:pPr>
      <w:r>
        <w:rPr>
          <w:sz w:val="28"/>
          <w:rFonts w:ascii="Times New Roman" w:hAnsi="Times New Roman"/>
        </w:rPr>
        <w:t xml:space="preserve">Bilješka 90.</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UKUPNI PRIHODI (šifre 6+7)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X067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1.984.470,86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838.921,67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42,3</w:t>
            </w:r>
          </w:p>
        </w:tc>
      </w:tr>
    </w:tbl>
    <w:p>
      <w:pPr>
        <w:spacing w:before="0" w:after="0"/>
      </w:pPr>
    </w:p>
    <w:p>
      <w:r>
        <w:t xml:space="preserve">Ukupni prihodi iznose 838.921,67 € i ostvareni su 57,70€ manje u odnosu na 2025.  Razlog je  primitak prihoda prošle godine za saniranje klizišta.</w:t>
      </w:r>
    </w:p>
    <w:p>
      <w:r>
        <w:t xml:space="preserve"> </w:t>
      </w:r>
    </w:p>
    <w:p/>
    <w:p>
      <w:pPr>
        <w:jc w:val="center"/>
        <w:pStyle w:val="Normal"/>
        <w:spacing w:line="240" w:lineRule="auto"/>
        <w:keepNext/>
      </w:pPr>
      <w:r>
        <w:rPr>
          <w:sz w:val="28"/>
          <w:rFonts w:ascii="Times New Roman" w:hAnsi="Times New Roman"/>
        </w:rPr>
        <w:t xml:space="preserve">Bilješka 91.</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UKUPNI RASHODI (šifre Z005+4)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Y034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604.034,97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805.999,14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133,4</w:t>
            </w:r>
          </w:p>
        </w:tc>
      </w:tr>
    </w:tbl>
    <w:p>
      <w:pPr>
        <w:spacing w:before="0" w:after="0"/>
      </w:pPr>
    </w:p>
    <w:p>
      <w:r>
        <w:t xml:space="preserve">Ukupni rashodi  bilježe rast od 33,4 % a razlog je na izvođenju radova klizišta.</w:t>
      </w:r>
    </w:p>
    <w:p/>
    <w:p>
      <w:pPr>
        <w:jc w:val="center"/>
        <w:pStyle w:val="Normal"/>
        <w:spacing w:line="240" w:lineRule="auto"/>
        <w:keepNext/>
      </w:pPr>
      <w:r>
        <w:rPr>
          <w:sz w:val="28"/>
          <w:rFonts w:ascii="Times New Roman" w:hAnsi="Times New Roman"/>
        </w:rPr>
        <w:t xml:space="preserve">Bilješka 92.</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UKUPAN VIŠAK PRIHODA (šifre X067-Y034)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X004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1.380.435,89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32.922,53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2,4</w:t>
            </w:r>
          </w:p>
        </w:tc>
      </w:tr>
    </w:tbl>
    <w:p>
      <w:pPr>
        <w:spacing w:before="0" w:after="0"/>
      </w:pPr>
    </w:p>
    <w:p>
      <w:r>
        <w:t xml:space="preserve">Ukupan višak prihoda nad ostvarenim rashodima u procesu konsolidacije iznose 32.922,53€ i ostvareni su tek 2,4°% u odnosu na 2025.</w:t>
      </w:r>
    </w:p>
    <w:p/>
    <w:p>
      <w:pPr>
        <w:jc w:val="center"/>
        <w:pStyle w:val="Normal"/>
        <w:spacing w:line="240" w:lineRule="auto"/>
        <w:keepNext/>
      </w:pPr>
      <w:r>
        <w:rPr>
          <w:sz w:val="28"/>
          <w:rFonts w:ascii="Times New Roman" w:hAnsi="Times New Roman"/>
        </w:rPr>
        <w:t xml:space="preserve">Bilješka 93.</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9221x, 9222x</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Višak prihoda - preneseni (šifre 92211+92212-92221-92222)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9221x,9222x VP</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70.763,09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1.251.417,86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1768,5</w:t>
            </w:r>
          </w:p>
        </w:tc>
      </w:tr>
    </w:tbl>
    <w:p>
      <w:pPr>
        <w:spacing w:before="0" w:after="0"/>
      </w:pPr>
    </w:p>
    <w:p>
      <w:r>
        <w:t xml:space="preserve">VP preneseni odnosi se velikim dijelom na prihode za sanaciju klizišta</w:t>
      </w:r>
    </w:p>
    <w:p/>
    <w:p>
      <w:pPr>
        <w:jc w:val="center"/>
        <w:pStyle w:val="Normal"/>
        <w:spacing w:line="240" w:lineRule="auto"/>
        <w:keepNext/>
      </w:pPr>
      <w:r>
        <w:rPr>
          <w:sz w:val="28"/>
          <w:rFonts w:ascii="Times New Roman" w:hAnsi="Times New Roman"/>
        </w:rPr>
        <w:t xml:space="preserve">Bilješka 94.</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96, 97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Obračunati prihodi poslovanja i od prodaje nefinancijske imovine - nenaplaćeni (šifre 96+97)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96,97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551.808,56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292.919,50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53,1</w:t>
            </w:r>
          </w:p>
        </w:tc>
      </w:tr>
    </w:tbl>
    <w:p>
      <w:pPr>
        <w:spacing w:before="0" w:after="0"/>
      </w:pPr>
    </w:p>
    <w:p>
      <w:r>
        <w:t xml:space="preserve">odnose se na potraživanja</w:t>
      </w:r>
    </w:p>
    <w:p/>
    <w:p>
      <w:pPr>
        <w:jc w:val="center"/>
        <w:pStyle w:val="Normal"/>
        <w:spacing w:line="240" w:lineRule="auto"/>
        <w:keepNext/>
      </w:pPr>
      <w:r>
        <w:rPr>
          <w:sz w:val="28"/>
          <w:rFonts w:ascii="Times New Roman" w:hAnsi="Times New Roman"/>
        </w:rPr>
        <w:t xml:space="preserve">Bilješka 95.</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Izdaci za financijsku imovinu i otplate zajmova (šifre 51+52+53+54+55)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14.599,59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w:t>
            </w:r>
          </w:p>
        </w:tc>
      </w:tr>
    </w:tbl>
    <w:p>
      <w:pPr>
        <w:spacing w:before="0" w:after="0"/>
      </w:pPr>
    </w:p>
    <w:p>
      <w:r>
        <w:t xml:space="preserve">U ovom izvj.razdoblju nema izdataka </w:t>
      </w:r>
    </w:p>
    <w:p/>
    <w:p>
      <w:pPr>
        <w:jc w:val="center"/>
        <w:pStyle w:val="Normal"/>
        <w:spacing w:line="240" w:lineRule="auto"/>
        <w:keepNext/>
      </w:pPr>
      <w:r>
        <w:rPr>
          <w:sz w:val="28"/>
          <w:rFonts w:ascii="Times New Roman" w:hAnsi="Times New Roman"/>
        </w:rPr>
        <w:t xml:space="preserve">Bilješka 96.</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54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Izdaci za otplatu glavnice primljenih kredita i zajmova (šifre 541+542+543+544+545+547)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54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14.599,59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w:t>
            </w:r>
          </w:p>
        </w:tc>
      </w:tr>
    </w:tbl>
    <w:p>
      <w:pPr>
        <w:spacing w:before="0" w:after="0"/>
      </w:pPr>
    </w:p>
    <w:p>
      <w:r>
        <w:t xml:space="preserve">U ovom izvj.razdoblju nema izdataka </w:t>
      </w:r>
    </w:p>
    <w:p/>
    <w:p>
      <w:pPr>
        <w:jc w:val="center"/>
        <w:pStyle w:val="Normal"/>
        <w:spacing w:line="240" w:lineRule="auto"/>
        <w:keepNext/>
      </w:pPr>
      <w:r>
        <w:rPr>
          <w:sz w:val="28"/>
          <w:rFonts w:ascii="Times New Roman" w:hAnsi="Times New Roman"/>
        </w:rPr>
        <w:t xml:space="preserve">Bilješka 97.</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544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Otplata glavnice primljenih kredita i zajmova od kreditnih i ostalih financijskih institucija izvan javnog sektora (šifre 5443 do 5448)</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544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14.599,59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w:t>
            </w:r>
          </w:p>
        </w:tc>
      </w:tr>
    </w:tbl>
    <w:p>
      <w:pPr>
        <w:spacing w:before="0" w:after="0"/>
      </w:pPr>
    </w:p>
    <w:p>
      <w:r>
        <w:t xml:space="preserve">U ovom izvj.razdoblju nema izdataka </w:t>
      </w:r>
    </w:p>
    <w:p/>
    <w:p>
      <w:pPr>
        <w:jc w:val="center"/>
        <w:pStyle w:val="Normal"/>
        <w:spacing w:line="240" w:lineRule="auto"/>
        <w:keepNext/>
      </w:pPr>
      <w:r>
        <w:rPr>
          <w:sz w:val="28"/>
          <w:rFonts w:ascii="Times New Roman" w:hAnsi="Times New Roman"/>
        </w:rPr>
        <w:t xml:space="preserve">Bilješka 98.</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5443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Otplata glavnice primljenih kredita od tuzemnih kreditnih institucija izvan javnog sektora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5443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14.599,59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w:t>
            </w:r>
          </w:p>
        </w:tc>
      </w:tr>
    </w:tbl>
    <w:p>
      <w:pPr>
        <w:spacing w:before="0" w:after="0"/>
      </w:pPr>
    </w:p>
    <w:p>
      <w:r>
        <w:t xml:space="preserve">U ovom izvj.razdoblju nema izdataka </w:t>
      </w:r>
    </w:p>
    <w:p/>
    <w:p>
      <w:pPr>
        <w:jc w:val="center"/>
        <w:pStyle w:val="Normal"/>
        <w:spacing w:line="240" w:lineRule="auto"/>
        <w:keepNext/>
      </w:pPr>
      <w:r>
        <w:rPr>
          <w:sz w:val="28"/>
          <w:rFonts w:ascii="Times New Roman" w:hAnsi="Times New Roman"/>
        </w:rPr>
        <w:t xml:space="preserve">Bilješka 99.</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MANJAK PRIMITAKA OD FINANCIJSKE IMOVINE I ZADUŽIVANJA (šifre 5-8)</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Y003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14.599,59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w:t>
            </w:r>
          </w:p>
        </w:tc>
      </w:tr>
    </w:tbl>
    <w:p>
      <w:pPr>
        <w:spacing w:before="0" w:after="0"/>
      </w:pPr>
    </w:p>
    <w:p>
      <w:r>
        <w:t xml:space="preserve">U ovom izvj.razdoblju nema izdataka </w:t>
      </w:r>
    </w:p>
    <w:p/>
    <w:p>
      <w:pPr>
        <w:jc w:val="center"/>
        <w:pStyle w:val="Normal"/>
        <w:spacing w:line="240" w:lineRule="auto"/>
        <w:keepNext/>
      </w:pPr>
      <w:r>
        <w:rPr>
          <w:sz w:val="28"/>
          <w:rFonts w:ascii="Times New Roman" w:hAnsi="Times New Roman"/>
        </w:rPr>
        <w:t xml:space="preserve">Bilješka 100.</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UKUPNI PRIHODI I PRIMICI (šifre X067+8)</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X678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1.984.470,86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838.921,67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42,3</w:t>
            </w:r>
          </w:p>
        </w:tc>
      </w:tr>
    </w:tbl>
    <w:p>
      <w:pPr>
        <w:spacing w:before="0" w:after="0"/>
      </w:pPr>
    </w:p>
    <w:p>
      <w:r>
        <w:t xml:space="preserve">Ukupni prihodi i primici manji su za 57,70% u odnosu na 2025.</w:t>
      </w:r>
    </w:p>
    <w:p/>
    <w:p>
      <w:pPr>
        <w:jc w:val="center"/>
        <w:pStyle w:val="Normal"/>
        <w:spacing w:line="240" w:lineRule="auto"/>
        <w:keepNext/>
      </w:pPr>
      <w:r>
        <w:rPr>
          <w:sz w:val="28"/>
          <w:rFonts w:ascii="Times New Roman" w:hAnsi="Times New Roman"/>
        </w:rPr>
        <w:t xml:space="preserve">Bilješka 101.</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UKUPNI RASHODI I IZDACI (šifre Y034+5)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Y345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618.634,56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805.999,14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130,3</w:t>
            </w:r>
          </w:p>
        </w:tc>
      </w:tr>
    </w:tbl>
    <w:p>
      <w:pPr>
        <w:spacing w:before="0" w:after="0"/>
      </w:pPr>
    </w:p>
    <w:p>
      <w:r>
        <w:t xml:space="preserve">Ukupni rashodi i izdaci  u procesu konsolidacije bilježe rast od 30,3%</w:t>
      </w:r>
    </w:p>
    <w:p/>
    <w:p>
      <w:pPr>
        <w:jc w:val="center"/>
        <w:pStyle w:val="Normal"/>
        <w:spacing w:line="240" w:lineRule="auto"/>
        <w:keepNext/>
      </w:pPr>
      <w:r>
        <w:rPr>
          <w:sz w:val="28"/>
          <w:rFonts w:ascii="Times New Roman" w:hAnsi="Times New Roman"/>
        </w:rPr>
        <w:t xml:space="preserve">Bilješka 102.</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VIŠAK PRIHODA I PRIMITAKA (šifre X678-Y345)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X005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1.365.836,30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32.922,53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2,4</w:t>
            </w:r>
          </w:p>
        </w:tc>
      </w:tr>
    </w:tbl>
    <w:p>
      <w:pPr>
        <w:spacing w:before="0" w:after="0"/>
      </w:pPr>
    </w:p>
    <w:p>
      <w:r>
        <w:t xml:space="preserve">U procesu konsolidacije VPiP iznosi 32.922,53</w:t>
      </w:r>
    </w:p>
    <w:p/>
    <w:p>
      <w:pPr>
        <w:jc w:val="center"/>
        <w:pStyle w:val="Normal"/>
        <w:spacing w:line="240" w:lineRule="auto"/>
        <w:keepNext/>
      </w:pPr>
      <w:r>
        <w:rPr>
          <w:sz w:val="28"/>
          <w:rFonts w:ascii="Times New Roman" w:hAnsi="Times New Roman"/>
        </w:rPr>
        <w:t xml:space="preserve">Bilješka 103.</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9221-9222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Višak prihoda i primitaka - preneseni (šifre '9221x,9222x VP' - '9221x,9222x MP' + 92213 - 92223)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9221-9222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70.763,09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1.251.417,86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1768,5</w:t>
            </w:r>
          </w:p>
        </w:tc>
      </w:tr>
    </w:tbl>
    <w:p>
      <w:pPr>
        <w:spacing w:before="0" w:after="0"/>
      </w:pPr>
    </w:p>
    <w:p>
      <w:r>
        <w:t xml:space="preserve">VP -preneseni ostvareni su od pomoći</w:t>
      </w:r>
    </w:p>
    <w:p/>
    <w:p>
      <w:pPr>
        <w:jc w:val="center"/>
        <w:pStyle w:val="Normal"/>
        <w:spacing w:line="240" w:lineRule="auto"/>
        <w:keepNext/>
      </w:pPr>
      <w:r>
        <w:rPr>
          <w:sz w:val="28"/>
          <w:rFonts w:ascii="Times New Roman" w:hAnsi="Times New Roman"/>
        </w:rPr>
        <w:t xml:space="preserve">Bilješka 104.</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Višak prihoda i primitaka raspoloživ u sljedećem razdoblju (šifre X005 + '9221-9222' - Y005 - '9222-9221')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X006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1.436.599,39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1.284.340,39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89,4</w:t>
            </w:r>
          </w:p>
        </w:tc>
      </w:tr>
    </w:tbl>
    <w:p>
      <w:pPr>
        <w:spacing w:before="0" w:after="0"/>
      </w:pPr>
    </w:p>
    <w:p>
      <w:r>
        <w:t xml:space="preserve">Višak prihoda i primitaka raspoloživ u sljedećem razdoblju u procesu konsolidacije  manji je 10,60% u odnosu na 2025 i iznosi  1.284.340,39</w:t>
      </w:r>
    </w:p>
    <w:p>
      <w:r>
        <w:t xml:space="preserve"> </w:t>
      </w:r>
    </w:p>
    <w:p/>
    <w:p>
      <w:pPr>
        <w:jc w:val="center"/>
        <w:pStyle w:val="Normal"/>
        <w:spacing w:line="240" w:lineRule="auto"/>
        <w:keepNext/>
      </w:pPr>
      <w:r>
        <w:rPr>
          <w:sz w:val="28"/>
          <w:rFonts w:ascii="Times New Roman" w:hAnsi="Times New Roman"/>
        </w:rPr>
        <w:t xml:space="preserve">Bilješka 105.</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11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Stanje novčanih sredstava na kraju izvještajnog razdoblja (šifre 11P + '11-dugov.' - '11-potraž.')</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11K</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1.403.222,31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1.346.163,97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95,9</w:t>
            </w:r>
          </w:p>
        </w:tc>
      </w:tr>
    </w:tbl>
    <w:p>
      <w:pPr>
        <w:spacing w:before="0" w:after="0"/>
      </w:pPr>
    </w:p>
    <w:p>
      <w:r>
        <w:t xml:space="preserve">Stanje novčanih sredstava na kraju izvještajnog razdoblja iznose 1.346.163,67€ i bilježe blagi pad od 4,10% u odnosu na 2025.</w:t>
      </w:r>
    </w:p>
    <w:p/>
    <w:p>
      <w:pPr>
        <w:jc w:val="center"/>
        <w:pStyle w:val="Normal"/>
        <w:spacing w:line="240" w:lineRule="auto"/>
        <w:keepNext/>
      </w:pPr>
      <w:r>
        <w:rPr>
          <w:b/>
          <w:sz w:val="28"/>
          <w:rFonts w:ascii="Times New Roman" w:hAnsi="Times New Roman"/>
        </w:rPr>
        <w:t xml:space="preserve">Izvještaj o obvezama</w:t>
      </w:r>
    </w:p>
    <w:p>
      <w:pPr>
        <w:jc w:val="center"/>
        <w:pStyle w:val="Normal"/>
        <w:spacing w:line="240" w:lineRule="auto"/>
        <w:keepNext/>
      </w:pPr>
      <w:r>
        <w:rPr>
          <w:sz w:val="28"/>
          <w:rFonts w:ascii="Times New Roman" w:hAnsi="Times New Roman"/>
        </w:rPr>
        <w:t xml:space="preserve">Bilješka 106.</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Iznos</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Stanje obveza 1. siječnja (=stanju obveza iz Izvještaja o obvezama na 31. prosinca prethodne godine)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V001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64.461,94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r>
        <w:t xml:space="preserve">Stanje obveza na 1.siječnja 2026. iznose 64.461,94€</w:t>
      </w:r>
    </w:p>
    <w:p/>
    <w:p>
      <w:pPr>
        <w:jc w:val="center"/>
        <w:pStyle w:val="Normal"/>
        <w:spacing w:line="240" w:lineRule="auto"/>
        <w:keepNext/>
      </w:pPr>
      <w:r>
        <w:rPr>
          <w:sz w:val="28"/>
          <w:rFonts w:ascii="Times New Roman" w:hAnsi="Times New Roman"/>
        </w:rPr>
        <w:t xml:space="preserve">Bilješka 107.</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Iznos</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Povećanje obveza u izvještajnom razdoblju (šifre V003+N23+N24 + 'N dio 25,26'+N27)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V002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1.222.013,29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r>
        <w:t xml:space="preserve">Povećanje obveza u izvještajnom razdoblju iznosi 1.222.013,29  €</w:t>
      </w:r>
    </w:p>
    <w:p/>
    <w:p>
      <w:pPr>
        <w:jc w:val="center"/>
        <w:pStyle w:val="Normal"/>
        <w:spacing w:line="240" w:lineRule="auto"/>
        <w:keepNext/>
      </w:pPr>
      <w:r>
        <w:rPr>
          <w:sz w:val="28"/>
          <w:rFonts w:ascii="Times New Roman" w:hAnsi="Times New Roman"/>
        </w:rPr>
        <w:t xml:space="preserve">Bilješka 108.</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Iznos</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23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Obveze za rashode poslovanja (šifre N231 do N239)</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N23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752.676,41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r>
        <w:t xml:space="preserve">Obveze za rashode poslovanja iznose 752.676,41€</w:t>
      </w:r>
    </w:p>
    <w:p/>
    <w:p>
      <w:pPr>
        <w:jc w:val="center"/>
        <w:pStyle w:val="Normal"/>
        <w:spacing w:line="240" w:lineRule="auto"/>
        <w:keepNext/>
      </w:pPr>
      <w:r>
        <w:rPr>
          <w:sz w:val="28"/>
          <w:rFonts w:ascii="Times New Roman" w:hAnsi="Times New Roman"/>
        </w:rPr>
        <w:t xml:space="preserve">Bilješka 109.</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Iznos</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231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Obveze za zaposlene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N231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157.875,86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r>
        <w:t xml:space="preserve">Obveze za zaposlene iznose 157.875,86 €</w:t>
      </w:r>
    </w:p>
    <w:p/>
    <w:p>
      <w:pPr>
        <w:jc w:val="center"/>
        <w:pStyle w:val="Normal"/>
        <w:spacing w:line="240" w:lineRule="auto"/>
        <w:keepNext/>
      </w:pPr>
      <w:r>
        <w:rPr>
          <w:sz w:val="28"/>
          <w:rFonts w:ascii="Times New Roman" w:hAnsi="Times New Roman"/>
        </w:rPr>
        <w:t xml:space="preserve">Bilješka 110.</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Iznos</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232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Obveze za materijalne rashode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N232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461.118,60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r>
        <w:t xml:space="preserve">Obveze za materijalne rashode iznose 461.118,60€</w:t>
      </w:r>
    </w:p>
    <w:p/>
    <w:p>
      <w:pPr>
        <w:jc w:val="center"/>
        <w:pStyle w:val="Normal"/>
        <w:spacing w:line="240" w:lineRule="auto"/>
        <w:keepNext/>
      </w:pPr>
      <w:r>
        <w:rPr>
          <w:sz w:val="28"/>
          <w:rFonts w:ascii="Times New Roman" w:hAnsi="Times New Roman"/>
        </w:rPr>
        <w:t xml:space="preserve">Bilješka 111.</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Iznos</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234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Obveze za financijske rashode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N234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1.839,40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r>
        <w:t xml:space="preserve">Obveze za financijske rashode iznose 1.839,40 €</w:t>
      </w:r>
    </w:p>
    <w:p/>
    <w:p>
      <w:pPr>
        <w:jc w:val="center"/>
        <w:pStyle w:val="Normal"/>
        <w:spacing w:line="240" w:lineRule="auto"/>
        <w:keepNext/>
      </w:pPr>
      <w:r>
        <w:rPr>
          <w:sz w:val="28"/>
          <w:rFonts w:ascii="Times New Roman" w:hAnsi="Times New Roman"/>
        </w:rPr>
        <w:t xml:space="preserve">Bilješka 112.</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Iznos</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236</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Obveze za pomoći dane u inozemstvo i unutar općeg proračuna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N236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49.243,30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r>
        <w:t xml:space="preserve">Obveze za pomoći dane u inozemstvo i unutar općeg proračuna iznose 49.243,30</w:t>
      </w:r>
      <w:r>
        <w:br/>
      </w:r>
      <w:r>
        <w:t xml:space="preserve"> €</w:t>
      </w:r>
    </w:p>
    <w:p/>
    <w:p>
      <w:pPr>
        <w:jc w:val="center"/>
        <w:pStyle w:val="Normal"/>
        <w:spacing w:line="240" w:lineRule="auto"/>
        <w:keepNext/>
      </w:pPr>
      <w:r>
        <w:rPr>
          <w:sz w:val="28"/>
          <w:rFonts w:ascii="Times New Roman" w:hAnsi="Times New Roman"/>
        </w:rPr>
        <w:t xml:space="preserve">Bilješka 113.</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Iznos</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237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Obveze za naknade građanima i kućanstvima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N237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15.107,63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r>
        <w:t xml:space="preserve">Obveze za naknade građanima i kućanstvima iznose 15.107,63 €</w:t>
      </w:r>
    </w:p>
    <w:p>
      <w:r>
        <w:t xml:space="preserve"> </w:t>
      </w:r>
    </w:p>
    <w:p/>
    <w:p>
      <w:pPr>
        <w:jc w:val="center"/>
        <w:pStyle w:val="Normal"/>
        <w:spacing w:line="240" w:lineRule="auto"/>
        <w:keepNext/>
      </w:pPr>
      <w:r>
        <w:rPr>
          <w:sz w:val="28"/>
          <w:rFonts w:ascii="Times New Roman" w:hAnsi="Times New Roman"/>
        </w:rPr>
        <w:t xml:space="preserve">Bilješka 114.</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Iznos</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238</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Obveze za donacije, kazne, naknade šteta i kapitalne pomoći</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N238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67.491,62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r>
        <w:t xml:space="preserve">Obveze za donacije, kazne, naknade šteta i kapitalne pomoći iznose 67.491,62 €</w:t>
      </w:r>
    </w:p>
    <w:p/>
    <w:p>
      <w:pPr>
        <w:jc w:val="center"/>
        <w:pStyle w:val="Normal"/>
        <w:spacing w:line="240" w:lineRule="auto"/>
        <w:keepNext/>
      </w:pPr>
      <w:r>
        <w:rPr>
          <w:sz w:val="28"/>
          <w:rFonts w:ascii="Times New Roman" w:hAnsi="Times New Roman"/>
        </w:rPr>
        <w:t xml:space="preserve">Bilješka 115.</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Iznos</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24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Obveze za nabavu nefinancijske imovine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N24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47.681,64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r>
        <w:t xml:space="preserve">Obveze za nabavu nefinancijske imovine iznose  </w:t>
      </w:r>
    </w:p>
    <w:p>
      <w:r>
        <w:t xml:space="preserve">47.681,64 €</w:t>
      </w:r>
    </w:p>
    <w:p/>
    <w:p>
      <w:pPr>
        <w:jc w:val="center"/>
        <w:pStyle w:val="Normal"/>
        <w:spacing w:line="240" w:lineRule="auto"/>
        <w:keepNext/>
      </w:pPr>
      <w:r>
        <w:rPr>
          <w:sz w:val="28"/>
          <w:rFonts w:ascii="Times New Roman" w:hAnsi="Times New Roman"/>
        </w:rPr>
        <w:t xml:space="preserve">Bilješka 116.</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Iznos</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27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Obveze za predujmove, depozite, jamčevne pologe i tuđe prihode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N27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421.655,24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r>
        <w:t xml:space="preserve">Obveze za predujmove, depozite, jamčevne pologe i tuđe prihode su  421.655,24    €        </w:t>
      </w:r>
    </w:p>
    <w:p/>
    <w:p>
      <w:pPr>
        <w:jc w:val="center"/>
        <w:pStyle w:val="Normal"/>
        <w:spacing w:line="240" w:lineRule="auto"/>
        <w:keepNext/>
      </w:pPr>
      <w:r>
        <w:rPr>
          <w:sz w:val="28"/>
          <w:rFonts w:ascii="Times New Roman" w:hAnsi="Times New Roman"/>
        </w:rPr>
        <w:t xml:space="preserve">Bilješka 117.</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Iznos</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Podmirene obveze u izvještajnom razdoblju (šifre V005+P23+P24 + 'P dio 25,26'+P27)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V004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1.097.014,43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r>
        <w:t xml:space="preserve">Podmirene obveze u izvještajnom razdoblju iznose </w:t>
      </w:r>
    </w:p>
    <w:p>
      <w:r>
        <w:t xml:space="preserve">1.097.014,43€</w:t>
      </w:r>
    </w:p>
    <w:p/>
    <w:p>
      <w:pPr>
        <w:jc w:val="center"/>
        <w:pStyle w:val="Normal"/>
        <w:spacing w:line="240" w:lineRule="auto"/>
        <w:keepNext/>
      </w:pPr>
      <w:r>
        <w:rPr>
          <w:sz w:val="28"/>
          <w:rFonts w:ascii="Times New Roman" w:hAnsi="Times New Roman"/>
        </w:rPr>
        <w:t xml:space="preserve">Bilješka 118.</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Iznos</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23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Obveze za rashode poslovanja (šifre P231 do P239)</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P23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654.515,00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r>
        <w:t xml:space="preserve">Obveze za rashode poslovanja podmirene su u iznosu 654.515,00€</w:t>
      </w:r>
      <w:r>
        <w:br/>
      </w:r>
      <w:r>
        <w:t xml:space="preserve"> </w:t>
      </w:r>
    </w:p>
    <w:p/>
    <w:p>
      <w:pPr>
        <w:jc w:val="center"/>
        <w:pStyle w:val="Normal"/>
        <w:spacing w:line="240" w:lineRule="auto"/>
        <w:keepNext/>
      </w:pPr>
      <w:r>
        <w:rPr>
          <w:sz w:val="28"/>
          <w:rFonts w:ascii="Times New Roman" w:hAnsi="Times New Roman"/>
        </w:rPr>
        <w:t xml:space="preserve">Bilješka 119.</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Iznos</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231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Obveze za zaposlene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P231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155.081,78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r>
        <w:t xml:space="preserve">Obveze za zaposlene podmirene su u iznosu od 155.081,78€</w:t>
      </w:r>
    </w:p>
    <w:p>
      <w:r>
        <w:t xml:space="preserve"> </w:t>
      </w:r>
    </w:p>
    <w:p/>
    <w:p>
      <w:pPr>
        <w:jc w:val="center"/>
        <w:pStyle w:val="Normal"/>
        <w:spacing w:line="240" w:lineRule="auto"/>
        <w:keepNext/>
      </w:pPr>
      <w:r>
        <w:rPr>
          <w:sz w:val="28"/>
          <w:rFonts w:ascii="Times New Roman" w:hAnsi="Times New Roman"/>
        </w:rPr>
        <w:t xml:space="preserve">Bilješka 120.</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Iznos</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232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Obveze za materijalne rashode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P232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399.170,05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r>
        <w:t xml:space="preserve">Obveze za materijalne rashode podmirene su u iznosu od </w:t>
      </w:r>
    </w:p>
    <w:p>
      <w:r>
        <w:t xml:space="preserve">399.170,05 €</w:t>
      </w:r>
    </w:p>
    <w:p/>
    <w:p>
      <w:pPr>
        <w:jc w:val="center"/>
        <w:pStyle w:val="Normal"/>
        <w:spacing w:line="240" w:lineRule="auto"/>
        <w:keepNext/>
      </w:pPr>
      <w:r>
        <w:rPr>
          <w:sz w:val="28"/>
          <w:rFonts w:ascii="Times New Roman" w:hAnsi="Times New Roman"/>
        </w:rPr>
        <w:t xml:space="preserve">Bilješka 121.</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Iznos</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234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Obveze za financijske rashode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P234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1.520,17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r>
        <w:t xml:space="preserve">Obveze za financijske rashode podmirene su i znosu od  1.520,17€</w:t>
      </w:r>
    </w:p>
    <w:p/>
    <w:p>
      <w:pPr>
        <w:jc w:val="center"/>
        <w:pStyle w:val="Normal"/>
        <w:spacing w:line="240" w:lineRule="auto"/>
        <w:keepNext/>
      </w:pPr>
      <w:r>
        <w:rPr>
          <w:sz w:val="28"/>
          <w:rFonts w:ascii="Times New Roman" w:hAnsi="Times New Roman"/>
        </w:rPr>
        <w:t xml:space="preserve">Bilješka 122.</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Iznos</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236</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Obveze za pomoći dane u inozemstvo i unutar općeg proračuna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P236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16.243,30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r>
        <w:t xml:space="preserve">Obveze za pomoći dane u inozemstvo i unutar općeg proračuna podmirene su u iznosu od 16.243,30€</w:t>
      </w:r>
    </w:p>
    <w:p/>
    <w:p>
      <w:pPr>
        <w:jc w:val="center"/>
        <w:pStyle w:val="Normal"/>
        <w:spacing w:line="240" w:lineRule="auto"/>
        <w:keepNext/>
      </w:pPr>
      <w:r>
        <w:rPr>
          <w:sz w:val="28"/>
          <w:rFonts w:ascii="Times New Roman" w:hAnsi="Times New Roman"/>
        </w:rPr>
        <w:t xml:space="preserve">Bilješka 123.</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Iznos</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237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Obveze za naknade građanima i kućanstvima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P237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14.966,83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r>
        <w:t xml:space="preserve">Obveze za naknade građanima i kućanstvima podmirene su u iznosu od 14.966,83 €</w:t>
      </w:r>
    </w:p>
    <w:p/>
    <w:p>
      <w:pPr>
        <w:jc w:val="center"/>
        <w:pStyle w:val="Normal"/>
        <w:spacing w:line="240" w:lineRule="auto"/>
        <w:keepNext/>
      </w:pPr>
      <w:r>
        <w:rPr>
          <w:sz w:val="28"/>
          <w:rFonts w:ascii="Times New Roman" w:hAnsi="Times New Roman"/>
        </w:rPr>
        <w:t xml:space="preserve">Bilješka 124.</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Iznos</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238</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Obveze za donacije, kazne, naknade šteta i kapitalne pomoći</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P238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67.532,87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r>
        <w:t xml:space="preserve">Obveze za donacije, kazne, naknade šteta i kapitalne pomoći podmirene su u iznosu od 67.532,87 €</w:t>
      </w:r>
    </w:p>
    <w:p/>
    <w:p>
      <w:pPr>
        <w:jc w:val="center"/>
        <w:pStyle w:val="Normal"/>
        <w:spacing w:line="240" w:lineRule="auto"/>
        <w:keepNext/>
      </w:pPr>
      <w:r>
        <w:rPr>
          <w:sz w:val="28"/>
          <w:rFonts w:ascii="Times New Roman" w:hAnsi="Times New Roman"/>
        </w:rPr>
        <w:t xml:space="preserve">Bilješka 125.</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Iznos</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24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Obveze za nabavu nefinancijske imovine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P24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47.681,64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r>
        <w:t xml:space="preserve">Obveze za nabavu nefinancijske imovine podmirene su u iznosu od 47.681,64 €</w:t>
      </w:r>
    </w:p>
    <w:p/>
    <w:p>
      <w:pPr>
        <w:jc w:val="center"/>
        <w:pStyle w:val="Normal"/>
        <w:spacing w:line="240" w:lineRule="auto"/>
        <w:keepNext/>
      </w:pPr>
      <w:r>
        <w:rPr>
          <w:sz w:val="28"/>
          <w:rFonts w:ascii="Times New Roman" w:hAnsi="Times New Roman"/>
        </w:rPr>
        <w:t xml:space="preserve">Bilješka 126.</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Iznos</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Stanje dospjelih obveza na kraju izvještajnog razdoblja (šifre V008+D23+D24 + 'D dio 25,26' + D27)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V007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r>
        <w:t xml:space="preserve">Stanje dospjelih obveza - nema</w:t>
      </w:r>
    </w:p>
    <w:p/>
    <w:p>
      <w:pPr>
        <w:jc w:val="center"/>
        <w:pStyle w:val="Normal"/>
        <w:spacing w:line="240" w:lineRule="auto"/>
        <w:keepNext/>
      </w:pPr>
      <w:r>
        <w:rPr>
          <w:sz w:val="28"/>
          <w:rFonts w:ascii="Times New Roman" w:hAnsi="Times New Roman"/>
        </w:rPr>
        <w:t xml:space="preserve">Bilješka 127.</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Iznos</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Stanje nedospjelih obveza na kraju izvještajnog razdoblja (šifre V010 + ND23 + ND24 + 'ND dio 25,26' + ND27)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V009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189.460,80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r>
        <w:t xml:space="preserve">Stanje nedospjelih obveza iznosr 189.4620,80 €</w:t>
      </w:r>
    </w:p>
    <w:p/>
    <w:p>
      <w:pPr>
        <w:jc w:val="center"/>
        <w:pStyle w:val="Normal"/>
        <w:spacing w:line="240" w:lineRule="auto"/>
        <w:keepNext/>
      </w:pPr>
      <w:r>
        <w:rPr>
          <w:sz w:val="28"/>
          <w:rFonts w:ascii="Times New Roman" w:hAnsi="Times New Roman"/>
        </w:rPr>
        <w:t xml:space="preserve">Bilješka 128.</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Iznos</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23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Obveze za rashode poslovanja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ND23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125.902,42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r>
        <w:t xml:space="preserve">Nedospjele obveze za rashode poslovanja iznose 125.902,42 €</w:t>
      </w:r>
    </w:p>
    <w:p/>
    <w:p>
      <w:pPr>
        <w:jc w:val="center"/>
        <w:pStyle w:val="Normal"/>
        <w:spacing w:line="240" w:lineRule="auto"/>
        <w:keepNext/>
      </w:pPr>
      <w:r>
        <w:rPr>
          <w:sz w:val="28"/>
          <w:rFonts w:ascii="Times New Roman" w:hAnsi="Times New Roman"/>
        </w:rPr>
        <w:t xml:space="preserve">Bilješka 129.</w:t>
      </w:r>
    </w:p>
    <w:p>
      <w:pPr>
        <w:jc w:val="both"/>
        <w:pStyle w:val="Normal"/>
        <w:spacing w:line="240" w:lineRule="auto"/>
      </w:pPr>
      <w:r>
        <w:rPr>
          <w:b/>
          <w:sz w:val="24"/>
          <w:rFonts w:ascii="Times New Roman" w:hAnsi="Times New Roman"/>
        </w:rPr>
        <w:t xml:space="preserve">Unutargrupne transakcije koje su u izvještajima eliminirane</w:t>
      </w:r>
    </w:p>
    <w:p>
      <w:r>
        <w:t xml:space="preserve">Unutar grupne transakcije koje su u izvještajima eliminirane:  U Izvještaju o prihodima i rashodima, primicima i izdacima (Obrazac: PR-RAS) eliminirani su  rashodi osnivača na podskupini 367 Prijenos proračunskim korisnicima iz nadležnog proračuna za financiranje redovne djelatnosti (Šifra 367- Prijenosi proračunskim korisnicima)  u iznosu od 110.624,15 € koji su prikazani u izvještaju za Općinu Šandrovac.</w:t>
      </w:r>
    </w:p>
    <w:p>
      <w:r>
        <w:t xml:space="preserve"> *Dječji vrtić Šandrovac - 87.263,41€</w:t>
      </w:r>
    </w:p>
    <w:p>
      <w:r>
        <w:t xml:space="preserve">*Dom za starije i nemoćne osobe Šandrovac – 23.360,74 €</w:t>
      </w:r>
    </w:p>
    <w:p/>
    <w:p>
      <w:pPr>
        <w:jc w:val="center"/>
        <w:pStyle w:val="Normal"/>
        <w:spacing w:line="240" w:lineRule="auto"/>
        <w:keepNext/>
      </w:pPr>
      <w:r>
        <w:rPr>
          <w:sz w:val="28"/>
          <w:rFonts w:ascii="Times New Roman" w:hAnsi="Times New Roman"/>
        </w:rPr>
        <w:t xml:space="preserve">Bilješka 130.</w:t>
      </w:r>
    </w:p>
    <w:p>
      <w:pPr>
        <w:jc w:val="both"/>
        <w:pStyle w:val="Normal"/>
        <w:spacing w:line="240" w:lineRule="auto"/>
      </w:pPr>
      <w:r>
        <w:rPr>
          <w:b/>
          <w:sz w:val="24"/>
          <w:rFonts w:ascii="Times New Roman" w:hAnsi="Times New Roman"/>
        </w:rPr>
        <w:t xml:space="preserve">Manjak ili višak u poslovanju grupe i pregled strukture manjka/viška po proračunskim korisnicima </w:t>
      </w:r>
    </w:p>
    <w:p>
      <w:r>
        <w:t xml:space="preserve">Manjak ili višak u poslovanju grupe i pregled strukture manjka/viška po proračunskim korisnicima </w:t>
      </w:r>
    </w:p>
    <w:p>
      <w:r>
        <w:br/>
      </w:r>
      <w:r>
        <w:t xml:space="preserve">Manjak ili višak u poslovanju grupe i pregled strukture manjka/viška OPĆINA ŠANDROVAC :</w:t>
      </w:r>
    </w:p>
    <w:p>
      <w:r>
        <w:t xml:space="preserve">*višak prihoda poslovanja                   Š.X001 :            80.544,67</w:t>
      </w:r>
    </w:p>
    <w:p>
      <w:r>
        <w:t xml:space="preserve">*višak prihoda poslovanja- preneseni Š.92211:      1.251.417,86</w:t>
      </w:r>
    </w:p>
    <w:p>
      <w:r>
        <w:t xml:space="preserve">*ukupan višak prihoda                        Š.X004 :            32.922,53 </w:t>
      </w:r>
    </w:p>
    <w:p>
      <w:r>
        <w:t xml:space="preserve">* VIŠAK PRIH.I PRIMITAKA                  Š.X005 :            32.922,53</w:t>
      </w:r>
    </w:p>
    <w:p>
      <w:r>
        <w:t xml:space="preserve">*VIŠAK PRIHODA I PRIMITAKA -         Š. X006 :      1.284.340,39</w:t>
      </w:r>
    </w:p>
    <w:p>
      <w:r>
        <w:t xml:space="preserve">raspoloživo </w:t>
      </w:r>
    </w:p>
    <w:p>
      <w:r>
        <w:t xml:space="preserve"> </w:t>
      </w:r>
    </w:p>
    <w:p/>
  </w:body>
</w:document>
</file>

<file path=word/styles.xml><?xml version="1.0" encoding="utf-8"?>
<w:styles xmlns:w="http://schemas.openxmlformats.org/wordprocessingml/2006/main">
  <w:docDefaults>
    <w:rPrDefault>
      <w:rPr>
        <w:rFonts w:ascii="Times New Roman" w:hAnsi="Times New Roman"/>
        <w:sz w:val="24"/>
      </w:rPr>
    </w:rPrDefault>
  </w:docDefaults>
  <w:style w:type="paragraph" w:styleId="Normal" w:default="true">
    <w:name w:val="Normal"/>
    <w:rPr>
      <w:rFonts w:ascii="Times New Roman" w:hAnsi="Times New Roman"/>
      <w:sz w:val="24"/>
    </w:rPr>
  </w:style>
</w:styles>
</file>

<file path=word/_rels/document.xml.rels>&#65279;<?xml version="1.0" encoding="utf-8"?><Relationships xmlns="http://schemas.openxmlformats.org/package/2006/relationships"><Relationship Type="http://schemas.openxmlformats.org/officeDocument/2006/relationships/styles" Target="/word/styles.xml" Id="R248322627cfc4a2f" /></Relationships>
</file>