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9CC45" w14:textId="77777777" w:rsidR="001340B5" w:rsidRPr="00FB037A" w:rsidRDefault="001340B5" w:rsidP="00FB037A">
      <w:pPr>
        <w:spacing w:line="259" w:lineRule="auto"/>
        <w:rPr>
          <w:b/>
          <w:bCs/>
          <w:color w:val="002060"/>
          <w:sz w:val="24"/>
          <w:szCs w:val="24"/>
        </w:rPr>
      </w:pPr>
      <w:bookmarkStart w:id="0" w:name="_Toc176165182"/>
      <w:r w:rsidRPr="00FB037A">
        <w:rPr>
          <w:color w:val="002060"/>
          <w:sz w:val="24"/>
          <w:szCs w:val="24"/>
        </w:rPr>
        <w:t>Kriterij za odabir ponude te relativni ponder kriterija</w:t>
      </w:r>
      <w:bookmarkEnd w:id="0"/>
    </w:p>
    <w:p w14:paraId="7C1431CD" w14:textId="77777777" w:rsidR="00FB037A" w:rsidRPr="00FB037A" w:rsidRDefault="00FB037A" w:rsidP="00FB037A">
      <w:pPr>
        <w:pStyle w:val="Tijeloteksta"/>
        <w:spacing w:line="259" w:lineRule="auto"/>
        <w:ind w:left="0" w:right="-5"/>
        <w:jc w:val="both"/>
      </w:pPr>
      <w:r w:rsidRPr="00FB037A">
        <w:t>Kriterij za odabir ponude je ekonomski najpovoljnija ponuda (ENP), sukladno članku 283. ZJN 2016.</w:t>
      </w:r>
    </w:p>
    <w:p w14:paraId="0E9BB123" w14:textId="77777777" w:rsidR="00FB037A" w:rsidRDefault="00FB037A" w:rsidP="00FB037A">
      <w:pPr>
        <w:pStyle w:val="Tijeloteksta"/>
        <w:spacing w:line="259" w:lineRule="auto"/>
        <w:ind w:left="0" w:right="-29"/>
        <w:jc w:val="both"/>
      </w:pPr>
      <w:r w:rsidRPr="00FB037A">
        <w:t>Ako su dvije ili više valjanih ponuda jednako rangirane prema kriteriju za odabir ponude, Naručitelj će odabrati ponudu koja je zaprimljena ranije.</w:t>
      </w:r>
    </w:p>
    <w:p w14:paraId="1BEA4118" w14:textId="00A9D6A2" w:rsidR="00FB037A" w:rsidRPr="00FB037A" w:rsidRDefault="00FB037A" w:rsidP="00FB037A">
      <w:pPr>
        <w:pStyle w:val="Tijeloteksta"/>
        <w:spacing w:line="259" w:lineRule="auto"/>
        <w:ind w:left="0" w:right="-29"/>
        <w:jc w:val="both"/>
      </w:pPr>
      <w:r w:rsidRPr="00FB037A">
        <w:t>Uz cijenu ponude, Naručitelj je odlučio da će kao dodatni kriterij za odabir ekonomski najpovoljnije ponude utvrditi jamstveni rok te dodatne bodove dodjeljivati za duži jamstveni rok od minimalnog jamstvenog roka od 2 godine.</w:t>
      </w:r>
    </w:p>
    <w:p w14:paraId="524662A3" w14:textId="77777777" w:rsidR="001340B5" w:rsidRPr="00FB037A" w:rsidRDefault="001340B5" w:rsidP="00FB037A">
      <w:pPr>
        <w:pStyle w:val="Tijeloteksta"/>
        <w:spacing w:line="259" w:lineRule="auto"/>
        <w:ind w:left="0" w:right="-29"/>
        <w:jc w:val="both"/>
      </w:pPr>
      <w:r w:rsidRPr="00FB037A">
        <w:t>Svaki od navedenih kriterija ocjenjuje se zasebno sukladno navedenim zahtjevima, a zbroj bodova dobiven kroz svaki od kriterija određuje ukupan broj bodova na način da se upisuje cjelobrojna</w:t>
      </w:r>
      <w:r w:rsidRPr="00FB037A">
        <w:rPr>
          <w:spacing w:val="-15"/>
        </w:rPr>
        <w:t xml:space="preserve"> </w:t>
      </w:r>
      <w:r w:rsidRPr="00FB037A">
        <w:t>vrijednost</w:t>
      </w:r>
      <w:r w:rsidRPr="00FB037A">
        <w:rPr>
          <w:spacing w:val="-13"/>
        </w:rPr>
        <w:t xml:space="preserve"> </w:t>
      </w:r>
      <w:r w:rsidRPr="00FB037A">
        <w:t>(uz</w:t>
      </w:r>
      <w:r w:rsidRPr="00FB037A">
        <w:rPr>
          <w:spacing w:val="-14"/>
        </w:rPr>
        <w:t xml:space="preserve"> </w:t>
      </w:r>
      <w:r w:rsidRPr="00FB037A">
        <w:t>zaokruživanje</w:t>
      </w:r>
      <w:r w:rsidRPr="00FB037A">
        <w:rPr>
          <w:spacing w:val="-14"/>
        </w:rPr>
        <w:t xml:space="preserve"> </w:t>
      </w:r>
      <w:r w:rsidRPr="00FB037A">
        <w:t>na</w:t>
      </w:r>
      <w:r w:rsidRPr="00FB037A">
        <w:rPr>
          <w:spacing w:val="-14"/>
        </w:rPr>
        <w:t xml:space="preserve"> </w:t>
      </w:r>
      <w:r w:rsidRPr="00FB037A">
        <w:t>dvije</w:t>
      </w:r>
      <w:r w:rsidRPr="00FB037A">
        <w:rPr>
          <w:spacing w:val="-15"/>
        </w:rPr>
        <w:t xml:space="preserve"> </w:t>
      </w:r>
      <w:r w:rsidRPr="00FB037A">
        <w:t>decimalne</w:t>
      </w:r>
      <w:r w:rsidRPr="00FB037A">
        <w:rPr>
          <w:spacing w:val="-14"/>
        </w:rPr>
        <w:t xml:space="preserve"> </w:t>
      </w:r>
      <w:r w:rsidRPr="00FB037A">
        <w:t>jedinice).</w:t>
      </w:r>
      <w:r w:rsidRPr="00FB037A">
        <w:rPr>
          <w:spacing w:val="-14"/>
        </w:rPr>
        <w:t xml:space="preserve"> </w:t>
      </w:r>
      <w:r w:rsidRPr="00FB037A">
        <w:t>Maksimalan</w:t>
      </w:r>
      <w:r w:rsidRPr="00FB037A">
        <w:rPr>
          <w:spacing w:val="-15"/>
        </w:rPr>
        <w:t xml:space="preserve"> </w:t>
      </w:r>
      <w:r w:rsidRPr="00FB037A">
        <w:t>broj</w:t>
      </w:r>
      <w:r w:rsidRPr="00FB037A">
        <w:rPr>
          <w:spacing w:val="-14"/>
        </w:rPr>
        <w:t xml:space="preserve"> </w:t>
      </w:r>
      <w:r w:rsidRPr="00FB037A">
        <w:t>bodova koja ponuda može ostvariti zbrojem svih bodova po oba kriterija je</w:t>
      </w:r>
      <w:r w:rsidRPr="00FB037A">
        <w:rPr>
          <w:spacing w:val="-7"/>
        </w:rPr>
        <w:t xml:space="preserve"> </w:t>
      </w:r>
      <w:r w:rsidRPr="00FB037A">
        <w:t>100.</w:t>
      </w:r>
    </w:p>
    <w:p w14:paraId="7142DB22" w14:textId="77777777" w:rsidR="001340B5" w:rsidRPr="00FB037A" w:rsidRDefault="001340B5" w:rsidP="00FB037A">
      <w:pPr>
        <w:pStyle w:val="Tijeloteksta"/>
        <w:spacing w:line="259" w:lineRule="auto"/>
        <w:ind w:left="0" w:right="-5"/>
        <w:jc w:val="both"/>
      </w:pPr>
    </w:p>
    <w:p w14:paraId="2CDD91FA" w14:textId="77777777" w:rsidR="001340B5" w:rsidRPr="00FB037A" w:rsidRDefault="001340B5" w:rsidP="00FB037A">
      <w:pPr>
        <w:pStyle w:val="Tijeloteksta"/>
        <w:spacing w:line="259" w:lineRule="auto"/>
        <w:ind w:left="0" w:right="-5"/>
      </w:pPr>
      <w:r w:rsidRPr="00FB037A">
        <w:t>Kriteriji odabira i njihov relativni značaj prikazani su u tablici u nastavku.</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3"/>
        <w:gridCol w:w="4111"/>
        <w:gridCol w:w="1843"/>
        <w:gridCol w:w="2410"/>
      </w:tblGrid>
      <w:tr w:rsidR="001340B5" w:rsidRPr="00FB037A" w14:paraId="31B8CDA7" w14:textId="77777777" w:rsidTr="00F237BB">
        <w:trPr>
          <w:trHeight w:val="427"/>
        </w:trPr>
        <w:tc>
          <w:tcPr>
            <w:tcW w:w="973" w:type="dxa"/>
          </w:tcPr>
          <w:p w14:paraId="4B35E994" w14:textId="77777777" w:rsidR="001340B5" w:rsidRPr="00FB037A" w:rsidRDefault="001340B5" w:rsidP="00FB037A">
            <w:pPr>
              <w:pStyle w:val="TableParagraph"/>
              <w:spacing w:line="259" w:lineRule="auto"/>
              <w:ind w:right="-5"/>
              <w:rPr>
                <w:sz w:val="24"/>
                <w:szCs w:val="24"/>
              </w:rPr>
            </w:pPr>
            <w:r w:rsidRPr="00FB037A">
              <w:rPr>
                <w:sz w:val="24"/>
                <w:szCs w:val="24"/>
              </w:rPr>
              <w:t>Red. broj</w:t>
            </w:r>
          </w:p>
        </w:tc>
        <w:tc>
          <w:tcPr>
            <w:tcW w:w="4111" w:type="dxa"/>
          </w:tcPr>
          <w:p w14:paraId="6E4EB0B9" w14:textId="77777777" w:rsidR="001340B5" w:rsidRPr="00FB037A" w:rsidRDefault="001340B5" w:rsidP="00FB037A">
            <w:pPr>
              <w:pStyle w:val="TableParagraph"/>
              <w:spacing w:line="259" w:lineRule="auto"/>
              <w:ind w:right="-5"/>
              <w:jc w:val="center"/>
              <w:rPr>
                <w:sz w:val="24"/>
                <w:szCs w:val="24"/>
              </w:rPr>
            </w:pPr>
            <w:r w:rsidRPr="00FB037A">
              <w:rPr>
                <w:sz w:val="24"/>
                <w:szCs w:val="24"/>
              </w:rPr>
              <w:t>Kriterij</w:t>
            </w:r>
          </w:p>
        </w:tc>
        <w:tc>
          <w:tcPr>
            <w:tcW w:w="1843" w:type="dxa"/>
          </w:tcPr>
          <w:p w14:paraId="5BDEA0DE" w14:textId="77777777" w:rsidR="001340B5" w:rsidRPr="00FB037A" w:rsidRDefault="001340B5" w:rsidP="00FB037A">
            <w:pPr>
              <w:pStyle w:val="TableParagraph"/>
              <w:spacing w:line="259" w:lineRule="auto"/>
              <w:ind w:right="-5"/>
              <w:jc w:val="center"/>
              <w:rPr>
                <w:sz w:val="24"/>
                <w:szCs w:val="24"/>
              </w:rPr>
            </w:pPr>
            <w:r w:rsidRPr="00FB037A">
              <w:rPr>
                <w:sz w:val="24"/>
                <w:szCs w:val="24"/>
              </w:rPr>
              <w:t>Postotak</w:t>
            </w:r>
          </w:p>
        </w:tc>
        <w:tc>
          <w:tcPr>
            <w:tcW w:w="2410" w:type="dxa"/>
          </w:tcPr>
          <w:p w14:paraId="06CE41A3" w14:textId="77777777" w:rsidR="001340B5" w:rsidRPr="00FB037A" w:rsidRDefault="001340B5" w:rsidP="00FB037A">
            <w:pPr>
              <w:pStyle w:val="TableParagraph"/>
              <w:spacing w:line="259" w:lineRule="auto"/>
              <w:ind w:right="-5"/>
              <w:rPr>
                <w:sz w:val="24"/>
                <w:szCs w:val="24"/>
              </w:rPr>
            </w:pPr>
            <w:r w:rsidRPr="00FB037A">
              <w:rPr>
                <w:sz w:val="24"/>
                <w:szCs w:val="24"/>
              </w:rPr>
              <w:t>Maksimalni broj bodova</w:t>
            </w:r>
          </w:p>
        </w:tc>
      </w:tr>
      <w:tr w:rsidR="001340B5" w:rsidRPr="00FB037A" w14:paraId="2D154470" w14:textId="77777777" w:rsidTr="00F237BB">
        <w:trPr>
          <w:trHeight w:val="419"/>
        </w:trPr>
        <w:tc>
          <w:tcPr>
            <w:tcW w:w="973" w:type="dxa"/>
          </w:tcPr>
          <w:p w14:paraId="19B6456E" w14:textId="77777777" w:rsidR="001340B5" w:rsidRPr="00FB037A" w:rsidRDefault="001340B5" w:rsidP="00FB037A">
            <w:pPr>
              <w:pStyle w:val="TableParagraph"/>
              <w:spacing w:line="259" w:lineRule="auto"/>
              <w:ind w:right="-5"/>
              <w:rPr>
                <w:sz w:val="24"/>
                <w:szCs w:val="24"/>
              </w:rPr>
            </w:pPr>
            <w:r w:rsidRPr="00FB037A">
              <w:rPr>
                <w:sz w:val="24"/>
                <w:szCs w:val="24"/>
              </w:rPr>
              <w:t>1.</w:t>
            </w:r>
          </w:p>
        </w:tc>
        <w:tc>
          <w:tcPr>
            <w:tcW w:w="4111" w:type="dxa"/>
          </w:tcPr>
          <w:p w14:paraId="00924490" w14:textId="77777777" w:rsidR="001340B5" w:rsidRPr="00FB037A" w:rsidRDefault="001340B5" w:rsidP="00FB037A">
            <w:pPr>
              <w:pStyle w:val="TableParagraph"/>
              <w:spacing w:line="259" w:lineRule="auto"/>
              <w:ind w:right="-5"/>
              <w:rPr>
                <w:sz w:val="24"/>
                <w:szCs w:val="24"/>
              </w:rPr>
            </w:pPr>
            <w:r w:rsidRPr="00FB037A">
              <w:rPr>
                <w:sz w:val="24"/>
                <w:szCs w:val="24"/>
              </w:rPr>
              <w:t>Cijena ponude (C)</w:t>
            </w:r>
          </w:p>
        </w:tc>
        <w:tc>
          <w:tcPr>
            <w:tcW w:w="1843" w:type="dxa"/>
          </w:tcPr>
          <w:p w14:paraId="065CF340" w14:textId="77777777" w:rsidR="001340B5" w:rsidRPr="00FB037A" w:rsidRDefault="001340B5" w:rsidP="00FB037A">
            <w:pPr>
              <w:pStyle w:val="TableParagraph"/>
              <w:spacing w:line="259" w:lineRule="auto"/>
              <w:ind w:right="-5"/>
              <w:jc w:val="center"/>
              <w:rPr>
                <w:sz w:val="24"/>
                <w:szCs w:val="24"/>
              </w:rPr>
            </w:pPr>
            <w:r w:rsidRPr="00FB037A">
              <w:rPr>
                <w:sz w:val="24"/>
                <w:szCs w:val="24"/>
              </w:rPr>
              <w:t>80%</w:t>
            </w:r>
          </w:p>
        </w:tc>
        <w:tc>
          <w:tcPr>
            <w:tcW w:w="2410" w:type="dxa"/>
          </w:tcPr>
          <w:p w14:paraId="36EC94CD" w14:textId="77777777" w:rsidR="001340B5" w:rsidRPr="00FB037A" w:rsidRDefault="001340B5" w:rsidP="00FB037A">
            <w:pPr>
              <w:pStyle w:val="TableParagraph"/>
              <w:spacing w:line="259" w:lineRule="auto"/>
              <w:ind w:right="-5"/>
              <w:jc w:val="center"/>
              <w:rPr>
                <w:b/>
                <w:sz w:val="24"/>
                <w:szCs w:val="24"/>
              </w:rPr>
            </w:pPr>
            <w:r w:rsidRPr="00FB037A">
              <w:rPr>
                <w:b/>
                <w:sz w:val="24"/>
                <w:szCs w:val="24"/>
              </w:rPr>
              <w:t>80</w:t>
            </w:r>
          </w:p>
        </w:tc>
      </w:tr>
      <w:tr w:rsidR="001340B5" w:rsidRPr="00FB037A" w14:paraId="6A262700" w14:textId="77777777" w:rsidTr="00F237BB">
        <w:trPr>
          <w:trHeight w:val="479"/>
        </w:trPr>
        <w:tc>
          <w:tcPr>
            <w:tcW w:w="973" w:type="dxa"/>
          </w:tcPr>
          <w:p w14:paraId="23EF4D9D" w14:textId="77777777" w:rsidR="001340B5" w:rsidRPr="00FB037A" w:rsidRDefault="001340B5" w:rsidP="00FB037A">
            <w:pPr>
              <w:pStyle w:val="TableParagraph"/>
              <w:spacing w:line="259" w:lineRule="auto"/>
              <w:ind w:right="-5"/>
              <w:rPr>
                <w:sz w:val="24"/>
                <w:szCs w:val="24"/>
              </w:rPr>
            </w:pPr>
            <w:r w:rsidRPr="00FB037A">
              <w:rPr>
                <w:sz w:val="24"/>
                <w:szCs w:val="24"/>
              </w:rPr>
              <w:t>2.</w:t>
            </w:r>
          </w:p>
        </w:tc>
        <w:tc>
          <w:tcPr>
            <w:tcW w:w="4111" w:type="dxa"/>
          </w:tcPr>
          <w:p w14:paraId="2E813A1B" w14:textId="77777777" w:rsidR="001340B5" w:rsidRPr="00FB037A" w:rsidRDefault="001340B5" w:rsidP="00FB037A">
            <w:pPr>
              <w:pStyle w:val="TableParagraph"/>
              <w:spacing w:line="259" w:lineRule="auto"/>
              <w:ind w:right="-5"/>
              <w:rPr>
                <w:sz w:val="24"/>
                <w:szCs w:val="24"/>
              </w:rPr>
            </w:pPr>
            <w:r w:rsidRPr="00FB037A">
              <w:rPr>
                <w:sz w:val="24"/>
                <w:szCs w:val="24"/>
              </w:rPr>
              <w:t>Duljina jamstvenog roka za otklanjanje nedostataka (J)</w:t>
            </w:r>
          </w:p>
        </w:tc>
        <w:tc>
          <w:tcPr>
            <w:tcW w:w="1843" w:type="dxa"/>
          </w:tcPr>
          <w:p w14:paraId="2E9EEEE2" w14:textId="77777777" w:rsidR="001340B5" w:rsidRPr="00FB037A" w:rsidRDefault="001340B5" w:rsidP="00FB037A">
            <w:pPr>
              <w:pStyle w:val="TableParagraph"/>
              <w:spacing w:line="259" w:lineRule="auto"/>
              <w:ind w:right="-5"/>
              <w:jc w:val="center"/>
              <w:rPr>
                <w:sz w:val="24"/>
                <w:szCs w:val="24"/>
              </w:rPr>
            </w:pPr>
            <w:r w:rsidRPr="00FB037A">
              <w:rPr>
                <w:sz w:val="24"/>
                <w:szCs w:val="24"/>
              </w:rPr>
              <w:t>20%</w:t>
            </w:r>
          </w:p>
        </w:tc>
        <w:tc>
          <w:tcPr>
            <w:tcW w:w="2410" w:type="dxa"/>
          </w:tcPr>
          <w:p w14:paraId="223F1C1C" w14:textId="77777777" w:rsidR="001340B5" w:rsidRPr="00FB037A" w:rsidRDefault="001340B5" w:rsidP="00FB037A">
            <w:pPr>
              <w:pStyle w:val="TableParagraph"/>
              <w:spacing w:line="259" w:lineRule="auto"/>
              <w:ind w:right="-5"/>
              <w:jc w:val="center"/>
              <w:rPr>
                <w:b/>
                <w:sz w:val="24"/>
                <w:szCs w:val="24"/>
              </w:rPr>
            </w:pPr>
            <w:r w:rsidRPr="00FB037A">
              <w:rPr>
                <w:b/>
                <w:sz w:val="24"/>
                <w:szCs w:val="24"/>
              </w:rPr>
              <w:t>20</w:t>
            </w:r>
          </w:p>
        </w:tc>
      </w:tr>
      <w:tr w:rsidR="001340B5" w:rsidRPr="00FB037A" w14:paraId="563F8FE4" w14:textId="77777777" w:rsidTr="00F237BB">
        <w:trPr>
          <w:trHeight w:val="484"/>
        </w:trPr>
        <w:tc>
          <w:tcPr>
            <w:tcW w:w="973" w:type="dxa"/>
          </w:tcPr>
          <w:p w14:paraId="54B31A1E" w14:textId="77777777" w:rsidR="001340B5" w:rsidRPr="00FB037A" w:rsidRDefault="001340B5" w:rsidP="00FB037A">
            <w:pPr>
              <w:pStyle w:val="TableParagraph"/>
              <w:spacing w:line="259" w:lineRule="auto"/>
              <w:ind w:right="-5"/>
              <w:rPr>
                <w:sz w:val="24"/>
                <w:szCs w:val="24"/>
              </w:rPr>
            </w:pPr>
            <w:r w:rsidRPr="00FB037A">
              <w:rPr>
                <w:sz w:val="24"/>
                <w:szCs w:val="24"/>
              </w:rPr>
              <w:t>3.</w:t>
            </w:r>
          </w:p>
        </w:tc>
        <w:tc>
          <w:tcPr>
            <w:tcW w:w="4111" w:type="dxa"/>
          </w:tcPr>
          <w:p w14:paraId="75FDD90C" w14:textId="77777777" w:rsidR="001340B5" w:rsidRPr="00FB037A" w:rsidRDefault="001340B5" w:rsidP="00FB037A">
            <w:pPr>
              <w:pStyle w:val="TableParagraph"/>
              <w:spacing w:line="259" w:lineRule="auto"/>
              <w:ind w:right="-5"/>
              <w:rPr>
                <w:b/>
                <w:sz w:val="24"/>
                <w:szCs w:val="24"/>
              </w:rPr>
            </w:pPr>
            <w:r w:rsidRPr="00FB037A">
              <w:rPr>
                <w:b/>
                <w:sz w:val="24"/>
                <w:szCs w:val="24"/>
              </w:rPr>
              <w:t>Maksimalni broj bodova</w:t>
            </w:r>
          </w:p>
        </w:tc>
        <w:tc>
          <w:tcPr>
            <w:tcW w:w="1843" w:type="dxa"/>
          </w:tcPr>
          <w:p w14:paraId="267C8DA2" w14:textId="77777777" w:rsidR="001340B5" w:rsidRPr="00FB037A" w:rsidRDefault="001340B5" w:rsidP="00FB037A">
            <w:pPr>
              <w:pStyle w:val="TableParagraph"/>
              <w:spacing w:line="259" w:lineRule="auto"/>
              <w:ind w:right="-5"/>
              <w:jc w:val="center"/>
              <w:rPr>
                <w:sz w:val="24"/>
                <w:szCs w:val="24"/>
              </w:rPr>
            </w:pPr>
            <w:r w:rsidRPr="00FB037A">
              <w:rPr>
                <w:sz w:val="24"/>
                <w:szCs w:val="24"/>
              </w:rPr>
              <w:t>100%</w:t>
            </w:r>
          </w:p>
        </w:tc>
        <w:tc>
          <w:tcPr>
            <w:tcW w:w="2410" w:type="dxa"/>
          </w:tcPr>
          <w:p w14:paraId="13524577" w14:textId="77777777" w:rsidR="001340B5" w:rsidRPr="00FB037A" w:rsidRDefault="001340B5" w:rsidP="00FB037A">
            <w:pPr>
              <w:pStyle w:val="TableParagraph"/>
              <w:spacing w:line="259" w:lineRule="auto"/>
              <w:ind w:right="-5"/>
              <w:jc w:val="center"/>
              <w:rPr>
                <w:b/>
                <w:sz w:val="24"/>
                <w:szCs w:val="24"/>
              </w:rPr>
            </w:pPr>
            <w:r w:rsidRPr="00FB037A">
              <w:rPr>
                <w:b/>
                <w:sz w:val="24"/>
                <w:szCs w:val="24"/>
              </w:rPr>
              <w:t>100</w:t>
            </w:r>
          </w:p>
        </w:tc>
      </w:tr>
    </w:tbl>
    <w:p w14:paraId="5F7FF75E" w14:textId="77777777" w:rsidR="001340B5" w:rsidRPr="00FB037A" w:rsidRDefault="001340B5" w:rsidP="00FB037A">
      <w:pPr>
        <w:pStyle w:val="Tijeloteksta"/>
        <w:spacing w:line="259" w:lineRule="auto"/>
        <w:ind w:left="0" w:right="-29"/>
        <w:jc w:val="both"/>
      </w:pPr>
    </w:p>
    <w:p w14:paraId="7943DB06" w14:textId="77777777" w:rsidR="00FB037A" w:rsidRPr="00FB037A" w:rsidRDefault="00FB037A" w:rsidP="00FB037A">
      <w:pPr>
        <w:spacing w:line="259" w:lineRule="auto"/>
        <w:ind w:right="-29"/>
        <w:rPr>
          <w:b/>
          <w:bCs/>
          <w:sz w:val="24"/>
          <w:szCs w:val="24"/>
        </w:rPr>
      </w:pPr>
      <w:r w:rsidRPr="00FB037A">
        <w:rPr>
          <w:b/>
          <w:bCs/>
          <w:sz w:val="24"/>
          <w:szCs w:val="24"/>
        </w:rPr>
        <w:t>Ukupna ocjena ponude izračunava se po slijedećoj formuli:</w:t>
      </w:r>
    </w:p>
    <w:p w14:paraId="3B36644D" w14:textId="77777777" w:rsidR="00FB037A" w:rsidRPr="00FB037A" w:rsidRDefault="00FB037A" w:rsidP="00FB037A">
      <w:pPr>
        <w:spacing w:line="259" w:lineRule="auto"/>
        <w:rPr>
          <w:i/>
          <w:iCs/>
          <w:sz w:val="24"/>
          <w:szCs w:val="24"/>
        </w:rPr>
      </w:pPr>
      <w:r w:rsidRPr="00FB037A">
        <w:rPr>
          <w:i/>
          <w:iCs/>
          <w:sz w:val="24"/>
          <w:szCs w:val="24"/>
        </w:rPr>
        <w:t>E = C + J</w:t>
      </w:r>
    </w:p>
    <w:p w14:paraId="30B29FD6" w14:textId="77777777" w:rsidR="00FB037A" w:rsidRPr="00FB037A" w:rsidRDefault="00FB037A" w:rsidP="00FB037A">
      <w:pPr>
        <w:pStyle w:val="Tijeloteksta"/>
        <w:spacing w:line="259" w:lineRule="auto"/>
        <w:ind w:left="0" w:right="-29"/>
        <w:jc w:val="both"/>
      </w:pPr>
    </w:p>
    <w:p w14:paraId="4FAAA19E" w14:textId="77777777" w:rsidR="00FB037A" w:rsidRPr="00FB037A" w:rsidRDefault="00FB037A" w:rsidP="00FB037A">
      <w:pPr>
        <w:pStyle w:val="Tijeloteksta"/>
        <w:spacing w:line="259" w:lineRule="auto"/>
        <w:ind w:left="0" w:right="-29"/>
        <w:jc w:val="both"/>
      </w:pPr>
      <w:r w:rsidRPr="00FB037A">
        <w:t>E – ekonomski najpovoljnija ponuda</w:t>
      </w:r>
    </w:p>
    <w:p w14:paraId="6007122C" w14:textId="77777777" w:rsidR="00FB037A" w:rsidRPr="00FB037A" w:rsidRDefault="00FB037A" w:rsidP="00FB037A">
      <w:pPr>
        <w:pStyle w:val="Tijeloteksta"/>
        <w:spacing w:line="259" w:lineRule="auto"/>
        <w:ind w:left="0" w:right="-29"/>
        <w:jc w:val="both"/>
      </w:pPr>
      <w:r w:rsidRPr="00FB037A">
        <w:t>C – broj bodova koji je ponuda dobila na temelju cijene</w:t>
      </w:r>
    </w:p>
    <w:p w14:paraId="0A5111C8" w14:textId="77777777" w:rsidR="00FB037A" w:rsidRPr="00FB037A" w:rsidRDefault="00FB037A" w:rsidP="00FB037A">
      <w:pPr>
        <w:pStyle w:val="Tijeloteksta"/>
        <w:spacing w:line="259" w:lineRule="auto"/>
        <w:ind w:left="0" w:right="-29"/>
        <w:jc w:val="both"/>
      </w:pPr>
      <w:r w:rsidRPr="00FB037A">
        <w:t>J – broj bodova koji je ponuda dobila na temelju jamstvenog roka</w:t>
      </w:r>
    </w:p>
    <w:p w14:paraId="6323D96E" w14:textId="77777777" w:rsidR="00FB037A" w:rsidRPr="00FB037A" w:rsidRDefault="00FB037A" w:rsidP="00FB037A">
      <w:pPr>
        <w:pStyle w:val="Tijeloteksta"/>
        <w:spacing w:line="259" w:lineRule="auto"/>
        <w:ind w:left="0" w:right="-29"/>
      </w:pPr>
    </w:p>
    <w:p w14:paraId="71593E81" w14:textId="77777777" w:rsidR="00FB037A" w:rsidRPr="00FB037A" w:rsidRDefault="00FB037A" w:rsidP="00FB037A">
      <w:pPr>
        <w:pStyle w:val="Tijeloteksta"/>
        <w:spacing w:line="259" w:lineRule="auto"/>
        <w:ind w:left="0" w:right="-29"/>
        <w:jc w:val="both"/>
      </w:pPr>
      <w:r w:rsidRPr="00FB037A">
        <w:t>Svaki od navedenih kriterija ocjenjuje se zasebno sukladno navedenim zahtjevima, a zbroj bodova dobiven kroz svaki od kriterija određuje ukupan broj bodova na način da se upisuje cjelobrojna</w:t>
      </w:r>
      <w:r w:rsidRPr="00FB037A">
        <w:rPr>
          <w:spacing w:val="-15"/>
        </w:rPr>
        <w:t xml:space="preserve"> </w:t>
      </w:r>
      <w:r w:rsidRPr="00FB037A">
        <w:t>vrijednost</w:t>
      </w:r>
      <w:r w:rsidRPr="00FB037A">
        <w:rPr>
          <w:spacing w:val="-13"/>
        </w:rPr>
        <w:t xml:space="preserve"> </w:t>
      </w:r>
      <w:r w:rsidRPr="00FB037A">
        <w:t>(uz</w:t>
      </w:r>
      <w:r w:rsidRPr="00FB037A">
        <w:rPr>
          <w:spacing w:val="-14"/>
        </w:rPr>
        <w:t xml:space="preserve"> </w:t>
      </w:r>
      <w:r w:rsidRPr="00FB037A">
        <w:t>zaokruživanje</w:t>
      </w:r>
      <w:r w:rsidRPr="00FB037A">
        <w:rPr>
          <w:spacing w:val="-14"/>
        </w:rPr>
        <w:t xml:space="preserve"> </w:t>
      </w:r>
      <w:r w:rsidRPr="00FB037A">
        <w:t>na</w:t>
      </w:r>
      <w:r w:rsidRPr="00FB037A">
        <w:rPr>
          <w:spacing w:val="-14"/>
        </w:rPr>
        <w:t xml:space="preserve"> </w:t>
      </w:r>
      <w:r w:rsidRPr="00FB037A">
        <w:t>dvije</w:t>
      </w:r>
      <w:r w:rsidRPr="00FB037A">
        <w:rPr>
          <w:spacing w:val="-15"/>
        </w:rPr>
        <w:t xml:space="preserve"> </w:t>
      </w:r>
      <w:r w:rsidRPr="00FB037A">
        <w:t>decimalne</w:t>
      </w:r>
      <w:r w:rsidRPr="00FB037A">
        <w:rPr>
          <w:spacing w:val="-14"/>
        </w:rPr>
        <w:t xml:space="preserve"> </w:t>
      </w:r>
      <w:r w:rsidRPr="00FB037A">
        <w:t>jedinice).</w:t>
      </w:r>
      <w:r w:rsidRPr="00FB037A">
        <w:rPr>
          <w:spacing w:val="-14"/>
        </w:rPr>
        <w:t xml:space="preserve"> </w:t>
      </w:r>
      <w:r w:rsidRPr="00FB037A">
        <w:t>Maksimalan</w:t>
      </w:r>
      <w:r w:rsidRPr="00FB037A">
        <w:rPr>
          <w:spacing w:val="-15"/>
        </w:rPr>
        <w:t xml:space="preserve"> </w:t>
      </w:r>
      <w:r w:rsidRPr="00FB037A">
        <w:t>broj</w:t>
      </w:r>
      <w:r w:rsidRPr="00FB037A">
        <w:rPr>
          <w:spacing w:val="-14"/>
        </w:rPr>
        <w:t xml:space="preserve"> </w:t>
      </w:r>
      <w:r w:rsidRPr="00FB037A">
        <w:t>bodova koja ponuda može ostvariti zbrojem svih bodova po oba kriterija je</w:t>
      </w:r>
      <w:r w:rsidRPr="00FB037A">
        <w:rPr>
          <w:spacing w:val="-7"/>
        </w:rPr>
        <w:t xml:space="preserve"> </w:t>
      </w:r>
      <w:r w:rsidRPr="00FB037A">
        <w:t>100.</w:t>
      </w:r>
    </w:p>
    <w:p w14:paraId="07BFCA23" w14:textId="77777777" w:rsidR="00FB037A" w:rsidRPr="00FB037A" w:rsidRDefault="00FB037A" w:rsidP="00FB037A">
      <w:pPr>
        <w:pStyle w:val="Tijeloteksta"/>
        <w:spacing w:line="259" w:lineRule="auto"/>
        <w:ind w:left="0" w:right="-29"/>
      </w:pPr>
    </w:p>
    <w:p w14:paraId="63BA4A26" w14:textId="77777777" w:rsidR="00FB037A" w:rsidRPr="00FB037A" w:rsidRDefault="00FB037A" w:rsidP="00FB037A">
      <w:pPr>
        <w:pStyle w:val="Odlomakpopisa"/>
        <w:widowControl/>
        <w:numPr>
          <w:ilvl w:val="0"/>
          <w:numId w:val="2"/>
        </w:numPr>
        <w:autoSpaceDE/>
        <w:autoSpaceDN/>
        <w:spacing w:line="259" w:lineRule="auto"/>
        <w:ind w:left="567" w:hanging="284"/>
        <w:contextualSpacing/>
        <w:rPr>
          <w:b/>
          <w:bCs/>
          <w:sz w:val="24"/>
          <w:szCs w:val="24"/>
          <w:lang w:val="hr-HR"/>
        </w:rPr>
      </w:pPr>
      <w:r w:rsidRPr="00FB037A">
        <w:rPr>
          <w:b/>
          <w:bCs/>
          <w:sz w:val="24"/>
          <w:szCs w:val="24"/>
          <w:lang w:val="hr-HR"/>
        </w:rPr>
        <w:t>Cijena ponude (maks. 80 bodova)</w:t>
      </w:r>
    </w:p>
    <w:p w14:paraId="7CBB7ECD" w14:textId="77777777" w:rsidR="00FB037A" w:rsidRPr="00FB037A" w:rsidRDefault="00FB037A" w:rsidP="00FB037A">
      <w:pPr>
        <w:spacing w:line="259" w:lineRule="auto"/>
        <w:ind w:right="80"/>
        <w:jc w:val="both"/>
        <w:rPr>
          <w:sz w:val="24"/>
          <w:szCs w:val="24"/>
          <w:lang w:val="hr-HR"/>
        </w:rPr>
      </w:pPr>
      <w:r w:rsidRPr="00FB037A">
        <w:rPr>
          <w:sz w:val="24"/>
          <w:szCs w:val="24"/>
          <w:lang w:val="hr-HR"/>
        </w:rPr>
        <w:t>Maksimalan broj bodova koji svaka ponuda može ostvariti u okviru kriterija cijene ponude je 80</w:t>
      </w:r>
      <w:r w:rsidRPr="00FB037A">
        <w:rPr>
          <w:b/>
          <w:sz w:val="24"/>
          <w:szCs w:val="24"/>
          <w:lang w:val="hr-HR"/>
        </w:rPr>
        <w:t xml:space="preserve"> </w:t>
      </w:r>
      <w:r w:rsidRPr="00FB037A">
        <w:rPr>
          <w:bCs/>
          <w:sz w:val="24"/>
          <w:szCs w:val="24"/>
          <w:lang w:val="hr-HR"/>
        </w:rPr>
        <w:t>bodova. Ponude</w:t>
      </w:r>
      <w:r w:rsidRPr="00FB037A">
        <w:rPr>
          <w:sz w:val="24"/>
          <w:szCs w:val="24"/>
          <w:lang w:val="hr-HR"/>
        </w:rPr>
        <w:t xml:space="preserve"> se boduju ovisno o cijeni na način da valjana ponuda s najnižom cijenom dobiva 80 bodova, a svaka druga razmjerno niži broj bodova prema sljedećoj formuli:</w:t>
      </w:r>
    </w:p>
    <w:p w14:paraId="3FFC66FF" w14:textId="77777777" w:rsidR="00FB037A" w:rsidRPr="00FB037A" w:rsidRDefault="00FB037A" w:rsidP="00FB037A">
      <w:pPr>
        <w:spacing w:line="259" w:lineRule="auto"/>
        <w:jc w:val="both"/>
        <w:rPr>
          <w:sz w:val="24"/>
          <w:szCs w:val="24"/>
          <w:lang w:val="hr-HR"/>
        </w:rPr>
      </w:pPr>
    </w:p>
    <w:p w14:paraId="51082D76" w14:textId="77777777" w:rsidR="00FB037A" w:rsidRPr="00FB037A" w:rsidRDefault="00FB037A" w:rsidP="00FB037A">
      <w:pPr>
        <w:spacing w:line="259" w:lineRule="auto"/>
        <w:ind w:left="284"/>
        <w:rPr>
          <w:b/>
          <w:sz w:val="24"/>
          <w:szCs w:val="24"/>
          <w:lang w:val="hr-HR"/>
        </w:rPr>
      </w:pPr>
      <w:r w:rsidRPr="00FB037A">
        <w:rPr>
          <w:b/>
          <w:sz w:val="24"/>
          <w:szCs w:val="24"/>
          <w:lang w:val="hr-HR"/>
        </w:rPr>
        <w:t>C = Cmin/CP * 80</w:t>
      </w:r>
    </w:p>
    <w:p w14:paraId="41C4E621" w14:textId="77777777" w:rsidR="00FB037A" w:rsidRPr="00FB037A" w:rsidRDefault="00FB037A" w:rsidP="00FB037A">
      <w:pPr>
        <w:spacing w:line="259" w:lineRule="auto"/>
        <w:rPr>
          <w:bCs/>
          <w:sz w:val="24"/>
          <w:szCs w:val="24"/>
          <w:lang w:val="hr-HR"/>
        </w:rPr>
      </w:pPr>
    </w:p>
    <w:p w14:paraId="39BD46CC" w14:textId="77777777" w:rsidR="00FB037A" w:rsidRPr="00FB037A" w:rsidRDefault="00FB037A" w:rsidP="00FB037A">
      <w:pPr>
        <w:spacing w:line="259" w:lineRule="auto"/>
        <w:rPr>
          <w:bCs/>
          <w:sz w:val="24"/>
          <w:szCs w:val="24"/>
          <w:lang w:val="hr-HR"/>
        </w:rPr>
      </w:pPr>
      <w:r w:rsidRPr="00FB037A">
        <w:rPr>
          <w:bCs/>
          <w:sz w:val="24"/>
          <w:szCs w:val="24"/>
          <w:lang w:val="hr-HR"/>
        </w:rPr>
        <w:t>pri čemu je:</w:t>
      </w:r>
    </w:p>
    <w:p w14:paraId="2D51CC8A" w14:textId="77777777" w:rsidR="00FB037A" w:rsidRPr="00FB037A" w:rsidRDefault="00FB037A" w:rsidP="00FB037A">
      <w:pPr>
        <w:spacing w:line="259" w:lineRule="auto"/>
        <w:rPr>
          <w:bCs/>
          <w:sz w:val="24"/>
          <w:szCs w:val="24"/>
          <w:lang w:val="hr-HR"/>
        </w:rPr>
      </w:pPr>
      <w:r w:rsidRPr="00FB037A">
        <w:rPr>
          <w:bCs/>
          <w:sz w:val="24"/>
          <w:szCs w:val="24"/>
          <w:lang w:val="hr-HR"/>
        </w:rPr>
        <w:t>C - broj bodova koji je ponuda dobila za ponuđenu cijenu (zaokruženo na dva decimalna mjesta)</w:t>
      </w:r>
    </w:p>
    <w:p w14:paraId="36208819" w14:textId="77777777" w:rsidR="00FB037A" w:rsidRPr="00FB037A" w:rsidRDefault="00FB037A" w:rsidP="00FB037A">
      <w:pPr>
        <w:spacing w:line="259" w:lineRule="auto"/>
        <w:rPr>
          <w:bCs/>
          <w:sz w:val="24"/>
          <w:szCs w:val="24"/>
          <w:lang w:val="hr-HR"/>
        </w:rPr>
      </w:pPr>
      <w:r w:rsidRPr="00FB037A">
        <w:rPr>
          <w:bCs/>
          <w:sz w:val="24"/>
          <w:szCs w:val="24"/>
          <w:lang w:val="hr-HR"/>
        </w:rPr>
        <w:t>Cmin - najniža cijena ponuđena u postupku javne nabave</w:t>
      </w:r>
    </w:p>
    <w:p w14:paraId="1912093E" w14:textId="77777777" w:rsidR="00FB037A" w:rsidRPr="00FB037A" w:rsidRDefault="00FB037A" w:rsidP="00FB037A">
      <w:pPr>
        <w:spacing w:line="259" w:lineRule="auto"/>
        <w:rPr>
          <w:bCs/>
          <w:sz w:val="24"/>
          <w:szCs w:val="24"/>
          <w:lang w:val="hr-HR"/>
        </w:rPr>
      </w:pPr>
      <w:r w:rsidRPr="00FB037A">
        <w:rPr>
          <w:bCs/>
          <w:sz w:val="24"/>
          <w:szCs w:val="24"/>
          <w:lang w:val="hr-HR"/>
        </w:rPr>
        <w:t>CP - cijena ponude koja je predmet ocjene</w:t>
      </w:r>
    </w:p>
    <w:p w14:paraId="63F9410D" w14:textId="77777777" w:rsidR="00FB037A" w:rsidRPr="00FB037A" w:rsidRDefault="00FB037A" w:rsidP="00FB037A">
      <w:pPr>
        <w:spacing w:line="259" w:lineRule="auto"/>
        <w:rPr>
          <w:bCs/>
          <w:sz w:val="24"/>
          <w:szCs w:val="24"/>
          <w:lang w:val="hr-HR" w:bidi="hr-HR"/>
        </w:rPr>
      </w:pPr>
      <w:r w:rsidRPr="00FB037A">
        <w:rPr>
          <w:bCs/>
          <w:sz w:val="24"/>
          <w:szCs w:val="24"/>
          <w:lang w:val="hr-HR"/>
        </w:rPr>
        <w:t>80 - maksimalni broj bodova</w:t>
      </w:r>
      <w:r w:rsidRPr="00FB037A">
        <w:rPr>
          <w:bCs/>
          <w:sz w:val="24"/>
          <w:szCs w:val="24"/>
          <w:lang w:val="hr-HR" w:bidi="hr-HR"/>
        </w:rPr>
        <w:t>.</w:t>
      </w:r>
    </w:p>
    <w:p w14:paraId="6C416C08" w14:textId="77777777" w:rsidR="00FB037A" w:rsidRPr="00FB037A" w:rsidRDefault="00FB037A" w:rsidP="00FB037A">
      <w:pPr>
        <w:spacing w:line="259" w:lineRule="auto"/>
        <w:rPr>
          <w:bCs/>
          <w:sz w:val="24"/>
          <w:szCs w:val="24"/>
          <w:lang w:val="hr-HR" w:bidi="hr-HR"/>
        </w:rPr>
      </w:pPr>
    </w:p>
    <w:p w14:paraId="24DA66B8" w14:textId="77777777" w:rsidR="00FB037A" w:rsidRPr="00FB037A" w:rsidRDefault="00FB037A" w:rsidP="00FB037A">
      <w:pPr>
        <w:spacing w:line="259" w:lineRule="auto"/>
        <w:rPr>
          <w:bCs/>
          <w:sz w:val="24"/>
          <w:szCs w:val="24"/>
          <w:lang w:bidi="hr-HR"/>
        </w:rPr>
      </w:pPr>
    </w:p>
    <w:p w14:paraId="69A36567" w14:textId="77777777" w:rsidR="00FB037A" w:rsidRPr="00FB037A" w:rsidRDefault="00FB037A" w:rsidP="00FB037A">
      <w:pPr>
        <w:pStyle w:val="Odlomakpopisa"/>
        <w:widowControl/>
        <w:numPr>
          <w:ilvl w:val="0"/>
          <w:numId w:val="2"/>
        </w:numPr>
        <w:autoSpaceDE/>
        <w:autoSpaceDN/>
        <w:spacing w:line="259" w:lineRule="auto"/>
        <w:contextualSpacing/>
        <w:rPr>
          <w:b/>
          <w:bCs/>
          <w:sz w:val="24"/>
          <w:szCs w:val="24"/>
          <w:lang w:val="hr-HR"/>
        </w:rPr>
      </w:pPr>
      <w:r w:rsidRPr="00FB037A">
        <w:rPr>
          <w:b/>
          <w:bCs/>
          <w:sz w:val="24"/>
          <w:szCs w:val="24"/>
          <w:lang w:val="hr-HR"/>
        </w:rPr>
        <w:lastRenderedPageBreak/>
        <w:t>Duljina jamstvenog roka za otklanjanje nedostataka u jamstvenom roku (maks. 20 bodova)</w:t>
      </w:r>
    </w:p>
    <w:p w14:paraId="3C7601FA" w14:textId="495BAA47" w:rsidR="00FB037A" w:rsidRPr="00FB037A" w:rsidRDefault="00FB037A" w:rsidP="00FB037A">
      <w:pPr>
        <w:spacing w:line="259" w:lineRule="auto"/>
        <w:jc w:val="both"/>
        <w:rPr>
          <w:sz w:val="24"/>
          <w:szCs w:val="24"/>
          <w:lang w:val="hr-HR"/>
        </w:rPr>
      </w:pPr>
      <w:r w:rsidRPr="00FB037A">
        <w:rPr>
          <w:sz w:val="24"/>
          <w:szCs w:val="24"/>
          <w:lang w:val="hr-HR"/>
        </w:rPr>
        <w:t>Minimalan jamstveni rok</w:t>
      </w:r>
      <w:r w:rsidR="00223C25">
        <w:rPr>
          <w:sz w:val="24"/>
          <w:szCs w:val="24"/>
          <w:lang w:val="hr-HR"/>
        </w:rPr>
        <w:t xml:space="preserve"> za izvedene radove i isporučenu i ugrađenu robu</w:t>
      </w:r>
      <w:r w:rsidRPr="00FB037A">
        <w:rPr>
          <w:sz w:val="24"/>
          <w:szCs w:val="24"/>
          <w:lang w:val="hr-HR"/>
        </w:rPr>
        <w:t xml:space="preserve"> je 2 (dvije) godine, a maksimalni rok koji se uzima u obzir je 5 (pet) godina. Maksimalni jamstveni rok se boduje s 20 (dvadeset) bodova. Ponuda s ponuđenim minimalnim rokom od 2 godine dobiti će nula bodova, odnosno takva ponuda neće biti odbijena, ali se minimalni rok neće bodovati. Ukoliko se nudi jamstveni rok duži od 5 godina, smatrat će se da je ponuđen maksimalni rok koji se uzima u obzir. Ukoliko ponuditelj u svojoj ponudi ne dostavi traženu informaciju o jamstvenom roku, ponuda se neće odbiti nego prilikom pregleda i ocjene ponude uzet će se da nudi minimalno trajanje jamstva (2 godine) i da se obvezao dostaviti jamstvo.</w:t>
      </w:r>
    </w:p>
    <w:p w14:paraId="16369A55" w14:textId="77777777" w:rsidR="00FB037A" w:rsidRPr="00FB037A" w:rsidRDefault="00FB037A" w:rsidP="00FB037A">
      <w:pPr>
        <w:spacing w:line="259" w:lineRule="auto"/>
        <w:jc w:val="both"/>
        <w:rPr>
          <w:sz w:val="24"/>
          <w:szCs w:val="24"/>
          <w:lang w:val="hr-HR"/>
        </w:rPr>
      </w:pPr>
    </w:p>
    <w:p w14:paraId="3739779B" w14:textId="77777777" w:rsidR="00FB037A" w:rsidRPr="00F81E95" w:rsidRDefault="00FB037A" w:rsidP="00FB037A">
      <w:pPr>
        <w:spacing w:line="259" w:lineRule="auto"/>
        <w:jc w:val="both"/>
        <w:rPr>
          <w:sz w:val="24"/>
          <w:szCs w:val="24"/>
          <w:lang w:val="hr-HR"/>
        </w:rPr>
      </w:pPr>
      <w:r w:rsidRPr="00F81E95">
        <w:rPr>
          <w:sz w:val="24"/>
          <w:szCs w:val="24"/>
          <w:lang w:val="hr-HR"/>
        </w:rPr>
        <w:t>Za izračun bodova se koristi slijedeća formula:</w:t>
      </w:r>
    </w:p>
    <w:p w14:paraId="32AE3A78" w14:textId="77777777" w:rsidR="00FB037A" w:rsidRPr="00F57BE0" w:rsidRDefault="00FB037A" w:rsidP="00FB037A">
      <w:pPr>
        <w:pStyle w:val="Tijeloteksta"/>
        <w:tabs>
          <w:tab w:val="left" w:leader="hyphen" w:pos="7781"/>
        </w:tabs>
        <w:spacing w:line="259" w:lineRule="auto"/>
        <w:ind w:right="-28"/>
        <w:rPr>
          <w:b/>
          <w:bCs/>
          <w:lang w:val="hr-HR"/>
        </w:rPr>
      </w:pPr>
      <w:r w:rsidRPr="00F57BE0">
        <w:rPr>
          <w:b/>
          <w:bCs/>
          <w:lang w:val="hr-HR"/>
        </w:rPr>
        <w:t xml:space="preserve">J = </w:t>
      </w:r>
      <w:r>
        <w:rPr>
          <w:b/>
          <w:bCs/>
          <w:lang w:val="hr-HR"/>
        </w:rPr>
        <w:t>(</w:t>
      </w:r>
      <w:r w:rsidRPr="00447132">
        <w:rPr>
          <w:b/>
          <w:bCs/>
          <w:lang w:val="hr-HR"/>
        </w:rPr>
        <w:t xml:space="preserve">JP-J2) / </w:t>
      </w:r>
      <w:r>
        <w:rPr>
          <w:b/>
          <w:bCs/>
          <w:lang w:val="hr-HR"/>
        </w:rPr>
        <w:t>(</w:t>
      </w:r>
      <w:r w:rsidRPr="00F57BE0">
        <w:rPr>
          <w:b/>
          <w:bCs/>
          <w:lang w:val="hr-HR"/>
        </w:rPr>
        <w:t>Jmax - J2</w:t>
      </w:r>
      <w:r>
        <w:rPr>
          <w:b/>
          <w:bCs/>
          <w:lang w:val="hr-HR"/>
        </w:rPr>
        <w:t xml:space="preserve">) </w:t>
      </w:r>
      <w:r w:rsidRPr="00F57BE0">
        <w:rPr>
          <w:b/>
          <w:bCs/>
          <w:lang w:val="hr-HR"/>
        </w:rPr>
        <w:t>* 20</w:t>
      </w:r>
    </w:p>
    <w:p w14:paraId="6105DA2B" w14:textId="77777777" w:rsidR="00FB037A" w:rsidRDefault="00FB037A" w:rsidP="00FB037A">
      <w:pPr>
        <w:spacing w:line="259" w:lineRule="auto"/>
        <w:jc w:val="both"/>
        <w:rPr>
          <w:sz w:val="24"/>
          <w:szCs w:val="24"/>
          <w:lang w:val="hr-HR"/>
        </w:rPr>
      </w:pPr>
    </w:p>
    <w:p w14:paraId="388F95E3" w14:textId="77777777" w:rsidR="00FB037A" w:rsidRPr="00F81E95" w:rsidRDefault="00FB037A" w:rsidP="00FB037A">
      <w:pPr>
        <w:spacing w:line="259" w:lineRule="auto"/>
        <w:jc w:val="both"/>
        <w:rPr>
          <w:sz w:val="24"/>
          <w:szCs w:val="24"/>
          <w:lang w:val="hr-HR"/>
        </w:rPr>
      </w:pPr>
      <w:r>
        <w:rPr>
          <w:sz w:val="24"/>
          <w:szCs w:val="24"/>
          <w:lang w:val="hr-HR"/>
        </w:rPr>
        <w:t>pri čemu je:</w:t>
      </w:r>
    </w:p>
    <w:p w14:paraId="7775FF60" w14:textId="77777777" w:rsidR="00FB037A" w:rsidRPr="004A4A3C" w:rsidRDefault="00FB037A" w:rsidP="00FB037A">
      <w:pPr>
        <w:pStyle w:val="Tijeloteksta"/>
        <w:spacing w:line="259" w:lineRule="auto"/>
        <w:ind w:left="0" w:right="-29"/>
        <w:jc w:val="both"/>
        <w:rPr>
          <w:lang w:val="hr-HR"/>
        </w:rPr>
      </w:pPr>
      <w:r w:rsidRPr="004A4A3C">
        <w:rPr>
          <w:lang w:val="hr-HR"/>
        </w:rPr>
        <w:t>J – broj bodova koji je ponuda dobila za ponuđeno jamstvo (zaokruženo na dva decimalna mjesta)</w:t>
      </w:r>
    </w:p>
    <w:p w14:paraId="04D304E2" w14:textId="77777777" w:rsidR="00FB037A" w:rsidRPr="004A4A3C" w:rsidRDefault="00FB037A" w:rsidP="00FB037A">
      <w:pPr>
        <w:pStyle w:val="Tijeloteksta"/>
        <w:spacing w:line="259" w:lineRule="auto"/>
        <w:ind w:left="0" w:right="-29"/>
        <w:jc w:val="both"/>
        <w:rPr>
          <w:lang w:val="hr-HR"/>
        </w:rPr>
      </w:pPr>
      <w:r w:rsidRPr="004A4A3C">
        <w:rPr>
          <w:lang w:val="hr-HR"/>
        </w:rPr>
        <w:t>JP – jamstveni rok ponuđen u ponudi koja se ocjenjuje</w:t>
      </w:r>
    </w:p>
    <w:p w14:paraId="2E6F0115" w14:textId="77777777" w:rsidR="00FB037A" w:rsidRPr="004A4A3C" w:rsidRDefault="00FB037A" w:rsidP="00FB037A">
      <w:pPr>
        <w:pStyle w:val="Tijeloteksta"/>
        <w:spacing w:line="259" w:lineRule="auto"/>
        <w:ind w:left="0" w:right="-29"/>
        <w:jc w:val="both"/>
        <w:rPr>
          <w:lang w:val="hr-HR"/>
        </w:rPr>
      </w:pPr>
      <w:r w:rsidRPr="004A4A3C">
        <w:rPr>
          <w:lang w:val="hr-HR"/>
        </w:rPr>
        <w:t xml:space="preserve">J2 – minimalni jamstveni rok od 2 </w:t>
      </w:r>
      <w:r>
        <w:rPr>
          <w:lang w:val="hr-HR"/>
        </w:rPr>
        <w:t>godine</w:t>
      </w:r>
    </w:p>
    <w:p w14:paraId="73895832" w14:textId="77777777" w:rsidR="00FB037A" w:rsidRPr="004A4A3C" w:rsidRDefault="00FB037A" w:rsidP="00FB037A">
      <w:pPr>
        <w:pStyle w:val="Tijeloteksta"/>
        <w:spacing w:line="259" w:lineRule="auto"/>
        <w:ind w:left="0" w:right="-29"/>
        <w:jc w:val="both"/>
        <w:rPr>
          <w:lang w:val="hr-HR"/>
        </w:rPr>
      </w:pPr>
      <w:r w:rsidRPr="004A4A3C">
        <w:rPr>
          <w:lang w:val="hr-HR"/>
        </w:rPr>
        <w:t>Jmax – najdulji jamstveni rok ponuđen u postupku javne nabave</w:t>
      </w:r>
    </w:p>
    <w:p w14:paraId="5EBCC751" w14:textId="770960A2" w:rsidR="00FB037A" w:rsidRDefault="00FB037A" w:rsidP="00FB037A">
      <w:pPr>
        <w:pStyle w:val="Tijeloteksta"/>
        <w:spacing w:line="259" w:lineRule="auto"/>
        <w:ind w:left="0" w:right="-29"/>
        <w:jc w:val="both"/>
        <w:rPr>
          <w:lang w:val="hr-HR"/>
        </w:rPr>
      </w:pPr>
      <w:r w:rsidRPr="004A4A3C">
        <w:rPr>
          <w:lang w:val="hr-HR"/>
        </w:rPr>
        <w:t>20 – maksimalni broj bodova</w:t>
      </w:r>
    </w:p>
    <w:p w14:paraId="5884F35F" w14:textId="77777777" w:rsidR="00FB037A" w:rsidRPr="00FB037A" w:rsidRDefault="00FB037A" w:rsidP="00FB037A">
      <w:pPr>
        <w:pStyle w:val="Tijeloteksta"/>
        <w:spacing w:line="259" w:lineRule="auto"/>
        <w:ind w:left="0" w:right="-29"/>
        <w:jc w:val="both"/>
        <w:rPr>
          <w:lang w:val="hr-HR"/>
        </w:rPr>
      </w:pPr>
    </w:p>
    <w:p w14:paraId="0B375515" w14:textId="77777777" w:rsidR="00FB037A" w:rsidRPr="00FB037A" w:rsidRDefault="00FB037A" w:rsidP="00FB037A">
      <w:pPr>
        <w:pStyle w:val="Tijeloteksta"/>
        <w:spacing w:line="259" w:lineRule="auto"/>
        <w:ind w:left="0" w:right="-29"/>
        <w:jc w:val="both"/>
      </w:pPr>
      <w:bookmarkStart w:id="1" w:name="_Hlk194307436"/>
      <w:r w:rsidRPr="00FB037A">
        <w:t>Jamstveni</w:t>
      </w:r>
      <w:r w:rsidRPr="00FB037A">
        <w:rPr>
          <w:spacing w:val="-3"/>
        </w:rPr>
        <w:t xml:space="preserve"> </w:t>
      </w:r>
      <w:r w:rsidRPr="00FB037A">
        <w:t>rok</w:t>
      </w:r>
      <w:r w:rsidRPr="00FB037A">
        <w:rPr>
          <w:spacing w:val="-4"/>
        </w:rPr>
        <w:t xml:space="preserve"> </w:t>
      </w:r>
      <w:r w:rsidRPr="00FB037A">
        <w:t>ima</w:t>
      </w:r>
      <w:r w:rsidRPr="00FB037A">
        <w:rPr>
          <w:spacing w:val="-4"/>
        </w:rPr>
        <w:t xml:space="preserve"> </w:t>
      </w:r>
      <w:r w:rsidRPr="00FB037A">
        <w:t>značenje</w:t>
      </w:r>
      <w:r w:rsidRPr="00FB037A">
        <w:rPr>
          <w:spacing w:val="-4"/>
        </w:rPr>
        <w:t xml:space="preserve"> </w:t>
      </w:r>
      <w:r w:rsidRPr="00FB037A">
        <w:t>jamstvenog</w:t>
      </w:r>
      <w:r w:rsidRPr="00FB037A">
        <w:rPr>
          <w:spacing w:val="-3"/>
        </w:rPr>
        <w:t xml:space="preserve"> </w:t>
      </w:r>
      <w:r w:rsidRPr="00FB037A">
        <w:t>roka</w:t>
      </w:r>
      <w:r w:rsidRPr="00FB037A">
        <w:rPr>
          <w:spacing w:val="-5"/>
        </w:rPr>
        <w:t xml:space="preserve"> </w:t>
      </w:r>
      <w:r w:rsidRPr="00FB037A">
        <w:t>za</w:t>
      </w:r>
      <w:r w:rsidRPr="00FB037A">
        <w:rPr>
          <w:spacing w:val="-5"/>
        </w:rPr>
        <w:t xml:space="preserve"> </w:t>
      </w:r>
      <w:r w:rsidRPr="00FB037A">
        <w:t>kvalitetu</w:t>
      </w:r>
      <w:r w:rsidRPr="00FB037A">
        <w:rPr>
          <w:spacing w:val="-3"/>
        </w:rPr>
        <w:t xml:space="preserve"> </w:t>
      </w:r>
      <w:r w:rsidRPr="00FB037A">
        <w:t>izvedenih</w:t>
      </w:r>
      <w:r w:rsidRPr="00FB037A">
        <w:rPr>
          <w:spacing w:val="-2"/>
        </w:rPr>
        <w:t xml:space="preserve"> </w:t>
      </w:r>
      <w:r w:rsidRPr="00FB037A">
        <w:t>radova,</w:t>
      </w:r>
      <w:r w:rsidRPr="00FB037A">
        <w:rPr>
          <w:spacing w:val="-4"/>
        </w:rPr>
        <w:t xml:space="preserve"> </w:t>
      </w:r>
      <w:r w:rsidRPr="00FB037A">
        <w:t>ugrađene</w:t>
      </w:r>
      <w:r w:rsidRPr="00FB037A">
        <w:rPr>
          <w:spacing w:val="-4"/>
        </w:rPr>
        <w:t xml:space="preserve"> </w:t>
      </w:r>
      <w:r w:rsidRPr="00FB037A">
        <w:t>opreme</w:t>
      </w:r>
      <w:r w:rsidRPr="00FB037A">
        <w:rPr>
          <w:spacing w:val="-4"/>
        </w:rPr>
        <w:t xml:space="preserve"> </w:t>
      </w:r>
      <w:r w:rsidRPr="00FB037A">
        <w:t>i materijale. Ponuđeni jamstveni rok upisat će se u ugovor o izvođenju</w:t>
      </w:r>
      <w:r w:rsidRPr="00FB037A">
        <w:rPr>
          <w:spacing w:val="-3"/>
        </w:rPr>
        <w:t xml:space="preserve"> </w:t>
      </w:r>
      <w:r w:rsidRPr="00FB037A">
        <w:t>radova.</w:t>
      </w:r>
    </w:p>
    <w:p w14:paraId="64C7B442" w14:textId="77777777" w:rsidR="00FB037A" w:rsidRPr="00FB037A" w:rsidRDefault="00FB037A" w:rsidP="00FB037A">
      <w:pPr>
        <w:pStyle w:val="Tijeloteksta"/>
        <w:spacing w:line="259" w:lineRule="auto"/>
        <w:ind w:left="0" w:right="-29"/>
        <w:jc w:val="both"/>
      </w:pPr>
      <w:r w:rsidRPr="00FB037A">
        <w:t>Jamstveni rok teče od datuma primopredaje radova.</w:t>
      </w:r>
    </w:p>
    <w:p w14:paraId="5C5B3991" w14:textId="77777777" w:rsidR="00FB037A" w:rsidRPr="00FB037A" w:rsidRDefault="00FB037A" w:rsidP="00FB037A">
      <w:pPr>
        <w:pStyle w:val="Tijeloteksta"/>
        <w:spacing w:line="259" w:lineRule="auto"/>
        <w:ind w:left="0" w:right="-29"/>
      </w:pPr>
    </w:p>
    <w:p w14:paraId="32BC579A" w14:textId="77777777" w:rsidR="00FB037A" w:rsidRPr="00FB037A" w:rsidRDefault="00FB037A" w:rsidP="00FB037A">
      <w:pPr>
        <w:pStyle w:val="Tijeloteksta"/>
        <w:spacing w:line="259" w:lineRule="auto"/>
        <w:ind w:left="0" w:right="-29"/>
        <w:jc w:val="both"/>
      </w:pPr>
      <w:r w:rsidRPr="00FB037A">
        <w:t>Ponuđeni</w:t>
      </w:r>
      <w:r w:rsidRPr="00FB037A">
        <w:rPr>
          <w:spacing w:val="-6"/>
        </w:rPr>
        <w:t xml:space="preserve"> </w:t>
      </w:r>
      <w:r w:rsidRPr="00FB037A">
        <w:t>jamstveni</w:t>
      </w:r>
      <w:r w:rsidRPr="00FB037A">
        <w:rPr>
          <w:spacing w:val="-6"/>
        </w:rPr>
        <w:t xml:space="preserve"> </w:t>
      </w:r>
      <w:r w:rsidRPr="00FB037A">
        <w:t>rok</w:t>
      </w:r>
      <w:r w:rsidRPr="00FB037A">
        <w:rPr>
          <w:spacing w:val="-7"/>
        </w:rPr>
        <w:t xml:space="preserve"> </w:t>
      </w:r>
      <w:r w:rsidRPr="00FB037A">
        <w:t>ne</w:t>
      </w:r>
      <w:r w:rsidRPr="00FB037A">
        <w:rPr>
          <w:spacing w:val="-7"/>
        </w:rPr>
        <w:t xml:space="preserve"> </w:t>
      </w:r>
      <w:r w:rsidRPr="00FB037A">
        <w:t>utječe</w:t>
      </w:r>
      <w:r w:rsidRPr="00FB037A">
        <w:rPr>
          <w:spacing w:val="-7"/>
        </w:rPr>
        <w:t xml:space="preserve"> </w:t>
      </w:r>
      <w:r w:rsidRPr="00FB037A">
        <w:t>na</w:t>
      </w:r>
      <w:r w:rsidRPr="00FB037A">
        <w:rPr>
          <w:spacing w:val="-6"/>
        </w:rPr>
        <w:t xml:space="preserve"> </w:t>
      </w:r>
      <w:r w:rsidRPr="00FB037A">
        <w:t>odgovornost</w:t>
      </w:r>
      <w:r w:rsidRPr="00FB037A">
        <w:rPr>
          <w:spacing w:val="-6"/>
        </w:rPr>
        <w:t xml:space="preserve"> </w:t>
      </w:r>
      <w:r w:rsidRPr="00FB037A">
        <w:t>izvođača</w:t>
      </w:r>
      <w:r w:rsidRPr="00FB037A">
        <w:rPr>
          <w:spacing w:val="-7"/>
        </w:rPr>
        <w:t xml:space="preserve"> </w:t>
      </w:r>
      <w:r w:rsidRPr="00FB037A">
        <w:t>za</w:t>
      </w:r>
      <w:r w:rsidRPr="00FB037A">
        <w:rPr>
          <w:spacing w:val="-7"/>
        </w:rPr>
        <w:t xml:space="preserve"> </w:t>
      </w:r>
      <w:r w:rsidRPr="00FB037A">
        <w:t>nedostatke</w:t>
      </w:r>
      <w:r w:rsidRPr="00FB037A">
        <w:rPr>
          <w:spacing w:val="-4"/>
        </w:rPr>
        <w:t xml:space="preserve"> </w:t>
      </w:r>
      <w:r w:rsidRPr="00FB037A">
        <w:t>radova i ugrađene opreme</w:t>
      </w:r>
      <w:r w:rsidRPr="00FB037A">
        <w:rPr>
          <w:spacing w:val="-6"/>
        </w:rPr>
        <w:t xml:space="preserve"> </w:t>
      </w:r>
      <w:r w:rsidRPr="00FB037A">
        <w:t>koji</w:t>
      </w:r>
      <w:r w:rsidRPr="00FB037A">
        <w:rPr>
          <w:spacing w:val="-6"/>
        </w:rPr>
        <w:t xml:space="preserve"> </w:t>
      </w:r>
      <w:r w:rsidRPr="00FB037A">
        <w:t>se</w:t>
      </w:r>
      <w:r w:rsidRPr="00FB037A">
        <w:rPr>
          <w:spacing w:val="-7"/>
        </w:rPr>
        <w:t xml:space="preserve"> </w:t>
      </w:r>
      <w:r w:rsidRPr="00FB037A">
        <w:t>tiču ispunjavanja zakonom određenih bitnih zahtjeva za građevinu ako se ti nedostaci pokažu za vrijeme od deset godina od predaje i primitka radova sukladno Zakonu o obveznim odnosima (NN 35/05, 41/08, 125/11,</w:t>
      </w:r>
      <w:r w:rsidRPr="00FB037A">
        <w:rPr>
          <w:spacing w:val="-1"/>
        </w:rPr>
        <w:t xml:space="preserve"> </w:t>
      </w:r>
      <w:r w:rsidRPr="00FB037A">
        <w:t>78/15, 29/18, 114/22 i 156/22).</w:t>
      </w:r>
    </w:p>
    <w:p w14:paraId="7E79864F" w14:textId="77777777" w:rsidR="00FB037A" w:rsidRPr="00FB037A" w:rsidRDefault="00FB037A" w:rsidP="00FB037A">
      <w:pPr>
        <w:pStyle w:val="Tijeloteksta"/>
        <w:spacing w:line="259" w:lineRule="auto"/>
        <w:ind w:left="0" w:right="-29"/>
        <w:jc w:val="both"/>
      </w:pPr>
    </w:p>
    <w:p w14:paraId="5103BEA0" w14:textId="24708DC9" w:rsidR="00C04F43" w:rsidRPr="00FB037A" w:rsidRDefault="00FB037A" w:rsidP="00FB037A">
      <w:pPr>
        <w:spacing w:line="259" w:lineRule="auto"/>
        <w:ind w:right="-29"/>
        <w:rPr>
          <w:sz w:val="24"/>
          <w:szCs w:val="24"/>
        </w:rPr>
      </w:pPr>
      <w:r w:rsidRPr="00FB037A">
        <w:rPr>
          <w:sz w:val="24"/>
          <w:szCs w:val="24"/>
          <w:lang w:val="hr-HR"/>
        </w:rPr>
        <w:t xml:space="preserve">Ponuditelj informaciju o duljini jamstvenog roka dostavlja unosom u EOJN RH (dokument „Podaci vezani uz kriterije za odabir ponude“ koji je kreiran </w:t>
      </w:r>
      <w:r w:rsidR="000A0F39">
        <w:rPr>
          <w:sz w:val="24"/>
          <w:szCs w:val="24"/>
          <w:lang w:val="hr-HR"/>
        </w:rPr>
        <w:t>kroz</w:t>
      </w:r>
      <w:r w:rsidRPr="00FB037A">
        <w:rPr>
          <w:sz w:val="24"/>
          <w:szCs w:val="24"/>
          <w:lang w:val="hr-HR"/>
        </w:rPr>
        <w:t xml:space="preserve"> EOJN RH).</w:t>
      </w:r>
      <w:bookmarkEnd w:id="1"/>
    </w:p>
    <w:sectPr w:rsidR="00C04F43" w:rsidRPr="00FB037A" w:rsidSect="00FB037A">
      <w:pgSz w:w="11906" w:h="16838"/>
      <w:pgMar w:top="1417"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D42BA"/>
    <w:multiLevelType w:val="multilevel"/>
    <w:tmpl w:val="D81E9798"/>
    <w:lvl w:ilvl="0">
      <w:start w:val="6"/>
      <w:numFmt w:val="decimal"/>
      <w:lvlText w:val="%1"/>
      <w:lvlJc w:val="left"/>
      <w:pPr>
        <w:ind w:left="582" w:hanging="447"/>
      </w:pPr>
      <w:rPr>
        <w:rFonts w:hint="default"/>
        <w:lang w:val="hr" w:eastAsia="hr" w:bidi="hr"/>
      </w:rPr>
    </w:lvl>
    <w:lvl w:ilvl="1">
      <w:start w:val="3"/>
      <w:numFmt w:val="decimal"/>
      <w:lvlText w:val="%1.%2."/>
      <w:lvlJc w:val="left"/>
      <w:pPr>
        <w:ind w:left="582" w:hanging="447"/>
      </w:pPr>
      <w:rPr>
        <w:rFonts w:ascii="Times New Roman" w:eastAsia="Calibri Light" w:hAnsi="Times New Roman" w:cs="Times New Roman" w:hint="default"/>
        <w:color w:val="002060"/>
        <w:w w:val="99"/>
        <w:sz w:val="24"/>
        <w:szCs w:val="24"/>
        <w:lang w:val="hr" w:eastAsia="hr" w:bidi="hr"/>
      </w:rPr>
    </w:lvl>
    <w:lvl w:ilvl="2">
      <w:start w:val="1"/>
      <w:numFmt w:val="decimal"/>
      <w:lvlText w:val="%1.%2.%3."/>
      <w:lvlJc w:val="left"/>
      <w:pPr>
        <w:ind w:left="731" w:hanging="595"/>
      </w:pPr>
      <w:rPr>
        <w:rFonts w:ascii="Times New Roman" w:eastAsia="Calibri Light" w:hAnsi="Times New Roman" w:cs="Times New Roman" w:hint="default"/>
        <w:color w:val="002060"/>
        <w:spacing w:val="-2"/>
        <w:w w:val="100"/>
        <w:sz w:val="24"/>
        <w:szCs w:val="24"/>
        <w:lang w:val="hr" w:eastAsia="hr" w:bidi="hr"/>
      </w:rPr>
    </w:lvl>
    <w:lvl w:ilvl="3">
      <w:numFmt w:val="bullet"/>
      <w:lvlText w:val="•"/>
      <w:lvlJc w:val="left"/>
      <w:pPr>
        <w:ind w:left="2710" w:hanging="595"/>
      </w:pPr>
      <w:rPr>
        <w:rFonts w:hint="default"/>
        <w:lang w:val="hr" w:eastAsia="hr" w:bidi="hr"/>
      </w:rPr>
    </w:lvl>
    <w:lvl w:ilvl="4">
      <w:numFmt w:val="bullet"/>
      <w:lvlText w:val="•"/>
      <w:lvlJc w:val="left"/>
      <w:pPr>
        <w:ind w:left="3695" w:hanging="595"/>
      </w:pPr>
      <w:rPr>
        <w:rFonts w:hint="default"/>
        <w:lang w:val="hr" w:eastAsia="hr" w:bidi="hr"/>
      </w:rPr>
    </w:lvl>
    <w:lvl w:ilvl="5">
      <w:numFmt w:val="bullet"/>
      <w:lvlText w:val="•"/>
      <w:lvlJc w:val="left"/>
      <w:pPr>
        <w:ind w:left="4680" w:hanging="595"/>
      </w:pPr>
      <w:rPr>
        <w:rFonts w:hint="default"/>
        <w:lang w:val="hr" w:eastAsia="hr" w:bidi="hr"/>
      </w:rPr>
    </w:lvl>
    <w:lvl w:ilvl="6">
      <w:numFmt w:val="bullet"/>
      <w:lvlText w:val="•"/>
      <w:lvlJc w:val="left"/>
      <w:pPr>
        <w:ind w:left="5665" w:hanging="595"/>
      </w:pPr>
      <w:rPr>
        <w:rFonts w:hint="default"/>
        <w:lang w:val="hr" w:eastAsia="hr" w:bidi="hr"/>
      </w:rPr>
    </w:lvl>
    <w:lvl w:ilvl="7">
      <w:numFmt w:val="bullet"/>
      <w:lvlText w:val="•"/>
      <w:lvlJc w:val="left"/>
      <w:pPr>
        <w:ind w:left="6650" w:hanging="595"/>
      </w:pPr>
      <w:rPr>
        <w:rFonts w:hint="default"/>
        <w:lang w:val="hr" w:eastAsia="hr" w:bidi="hr"/>
      </w:rPr>
    </w:lvl>
    <w:lvl w:ilvl="8">
      <w:numFmt w:val="bullet"/>
      <w:lvlText w:val="•"/>
      <w:lvlJc w:val="left"/>
      <w:pPr>
        <w:ind w:left="7636" w:hanging="595"/>
      </w:pPr>
      <w:rPr>
        <w:rFonts w:hint="default"/>
        <w:lang w:val="hr" w:eastAsia="hr" w:bidi="hr"/>
      </w:rPr>
    </w:lvl>
  </w:abstractNum>
  <w:abstractNum w:abstractNumId="1" w15:restartNumberingAfterBreak="0">
    <w:nsid w:val="239D0195"/>
    <w:multiLevelType w:val="hybridMultilevel"/>
    <w:tmpl w:val="8EFE09B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10775768">
    <w:abstractNumId w:val="0"/>
  </w:num>
  <w:num w:numId="2" w16cid:durableId="157836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B5"/>
    <w:rsid w:val="000A0F39"/>
    <w:rsid w:val="001340B5"/>
    <w:rsid w:val="001B1417"/>
    <w:rsid w:val="00223C25"/>
    <w:rsid w:val="0093622A"/>
    <w:rsid w:val="00947D6B"/>
    <w:rsid w:val="00C04F43"/>
    <w:rsid w:val="00ED2E4A"/>
    <w:rsid w:val="00FB03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1B18"/>
  <w15:chartTrackingRefBased/>
  <w15:docId w15:val="{42C34DFB-6823-4F57-AA3A-7630493B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0B5"/>
    <w:pPr>
      <w:widowControl w:val="0"/>
      <w:autoSpaceDE w:val="0"/>
      <w:autoSpaceDN w:val="0"/>
      <w:spacing w:after="0" w:line="240" w:lineRule="auto"/>
    </w:pPr>
    <w:rPr>
      <w:rFonts w:ascii="Times New Roman" w:eastAsia="Times New Roman" w:hAnsi="Times New Roman" w:cs="Times New Roman"/>
      <w:kern w:val="0"/>
      <w:lang w:val="hr" w:eastAsia="hr"/>
      <w14:ligatures w14:val="none"/>
    </w:rPr>
  </w:style>
  <w:style w:type="paragraph" w:styleId="Naslov3">
    <w:name w:val="heading 3"/>
    <w:basedOn w:val="Normal"/>
    <w:link w:val="Naslov3Char"/>
    <w:uiPriority w:val="9"/>
    <w:unhideWhenUsed/>
    <w:qFormat/>
    <w:rsid w:val="001340B5"/>
    <w:pPr>
      <w:ind w:left="136"/>
      <w:outlineLvl w:val="2"/>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1340B5"/>
    <w:rPr>
      <w:rFonts w:ascii="Times New Roman" w:eastAsia="Times New Roman" w:hAnsi="Times New Roman" w:cs="Times New Roman"/>
      <w:b/>
      <w:bCs/>
      <w:kern w:val="0"/>
      <w:sz w:val="24"/>
      <w:szCs w:val="24"/>
      <w:lang w:val="hr" w:eastAsia="hr"/>
      <w14:ligatures w14:val="none"/>
    </w:rPr>
  </w:style>
  <w:style w:type="table" w:customStyle="1" w:styleId="TableNormal">
    <w:name w:val="Table Normal"/>
    <w:uiPriority w:val="2"/>
    <w:semiHidden/>
    <w:unhideWhenUsed/>
    <w:qFormat/>
    <w:rsid w:val="001340B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1340B5"/>
    <w:pPr>
      <w:ind w:left="136"/>
    </w:pPr>
    <w:rPr>
      <w:sz w:val="24"/>
      <w:szCs w:val="24"/>
    </w:rPr>
  </w:style>
  <w:style w:type="character" w:customStyle="1" w:styleId="TijelotekstaChar">
    <w:name w:val="Tijelo teksta Char"/>
    <w:basedOn w:val="Zadanifontodlomka"/>
    <w:link w:val="Tijeloteksta"/>
    <w:uiPriority w:val="1"/>
    <w:rsid w:val="001340B5"/>
    <w:rPr>
      <w:rFonts w:ascii="Times New Roman" w:eastAsia="Times New Roman" w:hAnsi="Times New Roman" w:cs="Times New Roman"/>
      <w:kern w:val="0"/>
      <w:sz w:val="24"/>
      <w:szCs w:val="24"/>
      <w:lang w:val="hr" w:eastAsia="hr"/>
      <w14:ligatures w14:val="none"/>
    </w:r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1340B5"/>
    <w:pPr>
      <w:ind w:left="136"/>
      <w:jc w:val="both"/>
    </w:pPr>
  </w:style>
  <w:style w:type="paragraph" w:customStyle="1" w:styleId="TableParagraph">
    <w:name w:val="Table Paragraph"/>
    <w:basedOn w:val="Normal"/>
    <w:uiPriority w:val="1"/>
    <w:qFormat/>
    <w:rsid w:val="001340B5"/>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link w:val="Odlomakpopisa"/>
    <w:uiPriority w:val="34"/>
    <w:qFormat/>
    <w:locked/>
    <w:rsid w:val="001340B5"/>
    <w:rPr>
      <w:rFonts w:ascii="Times New Roman" w:eastAsia="Times New Roman" w:hAnsi="Times New Roman" w:cs="Times New Roman"/>
      <w:kern w:val="0"/>
      <w:lang w:val="hr" w:eastAsia="hr"/>
      <w14:ligatures w14:val="none"/>
    </w:rPr>
  </w:style>
  <w:style w:type="table" w:styleId="Reetkatablice">
    <w:name w:val="Table Grid"/>
    <w:basedOn w:val="Obinatablica"/>
    <w:uiPriority w:val="39"/>
    <w:rsid w:val="00FB03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 BBŽ</dc:creator>
  <cp:keywords/>
  <dc:description/>
  <cp:lastModifiedBy>JURA BBŽ</cp:lastModifiedBy>
  <cp:revision>4</cp:revision>
  <cp:lastPrinted>2024-09-10T09:30:00Z</cp:lastPrinted>
  <dcterms:created xsi:type="dcterms:W3CDTF">2024-09-10T09:26:00Z</dcterms:created>
  <dcterms:modified xsi:type="dcterms:W3CDTF">2025-09-11T11:48:00Z</dcterms:modified>
</cp:coreProperties>
</file>